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Haftbeschwerde — §§ 117, 304 StPO — Daniel Albert Bankert</w:t>
      </w:r>
    </w:p>
    <w:p>
      <w:pPr>
        <w:jc w:val="left"/>
      </w:pPr>
      <w:r>
        <w:rPr>
          <w:b/>
        </w:rPr>
        <w:t>Marx Strafverteidigung Frankfurt</w:t>
      </w:r>
    </w:p>
    <w:p>
      <w:pPr>
        <w:jc w:val="left"/>
      </w:pPr>
      <w:r>
        <w:t>Dr. Friederike Marx, Fachanwältin für Strafrecht</w:t>
      </w:r>
    </w:p>
    <w:p>
      <w:pPr>
        <w:jc w:val="left"/>
      </w:pPr>
      <w:r>
        <w:t>Bockenheimer Landstraße 84</w:t>
      </w:r>
    </w:p>
    <w:p>
      <w:pPr>
        <w:jc w:val="left"/>
      </w:pPr>
      <w:r>
        <w:t>60323 Frankfurt am Main</w:t>
      </w:r>
    </w:p>
    <w:p>
      <w:pPr>
        <w:jc w:val="left"/>
      </w:pPr>
      <w:r>
        <w:t>Tel.: 069 / 44 55 66 70</w:t>
      </w:r>
    </w:p>
    <w:p>
      <w:pPr>
        <w:jc w:val="left"/>
      </w:pPr>
      <w:r>
        <w:t>marx@marx-strafverteidigung.de</w:t>
      </w:r>
    </w:p>
    <w:p>
      <w:pPr>
        <w:jc w:val="left"/>
      </w:pPr>
      <w:r>
        <w:t>An das</w:t>
      </w:r>
    </w:p>
    <w:p>
      <w:pPr>
        <w:jc w:val="left"/>
      </w:pPr>
      <w:r>
        <w:rPr>
          <w:b/>
        </w:rPr>
        <w:t>Landgericht Frankfurt am Main</w:t>
      </w:r>
    </w:p>
    <w:p>
      <w:pPr>
        <w:jc w:val="left"/>
      </w:pPr>
      <w:r>
        <w:t>— 14. Große Wirtschaftsstrafkammer —</w:t>
      </w:r>
    </w:p>
    <w:p>
      <w:pPr>
        <w:jc w:val="left"/>
      </w:pPr>
      <w:r>
        <w:t>Gerichtsstraße 2</w:t>
      </w:r>
    </w:p>
    <w:p>
      <w:pPr>
        <w:jc w:val="left"/>
      </w:pPr>
      <w:r>
        <w:t>60313 Frankfurt am Main</w:t>
      </w:r>
    </w:p>
    <w:p>
      <w:pPr>
        <w:jc w:val="left"/>
      </w:pPr>
      <w:r>
        <w:t>(Per Fax 069 / 1367-5019 und per beA)</w:t>
      </w:r>
    </w:p>
    <w:p>
      <w:pPr>
        <w:jc w:val="left"/>
      </w:pPr>
      <w:r>
        <w:t xml:space="preserve">Frankfurt am Main, </w:t>
      </w:r>
      <w:r>
        <w:rPr>
          <w:b/>
        </w:rPr>
        <w:t>09. Mai 2025</w:t>
      </w:r>
    </w:p>
    <w:p/>
    <w:p>
      <w:pPr>
        <w:jc w:val="left"/>
      </w:pPr>
      <w:r>
        <w:rPr>
          <w:b/>
        </w:rPr>
        <w:t>Az.: 5/28 KLs 122/25</w:t>
      </w:r>
    </w:p>
    <w:p>
      <w:pPr>
        <w:jc w:val="left"/>
      </w:pPr>
      <w:r>
        <w:rPr>
          <w:b/>
        </w:rPr>
        <w:t>Az. Haftbefehl AG Frankfurt: 942 Gs 1204/25</w:t>
      </w:r>
    </w:p>
    <w:p/>
    <w:p>
      <w:pPr>
        <w:pStyle w:val="Heading2"/>
      </w:pPr>
      <w:r>
        <w:rPr>
          <w:rFonts w:ascii="Times New Roman" w:hAnsi="Times New Roman"/>
        </w:rPr>
        <w:t>HAFTBESCHWERDE</w:t>
      </w:r>
    </w:p>
    <w:p>
      <w:pPr>
        <w:jc w:val="left"/>
      </w:pPr>
      <w:r>
        <w:t>Namens und im Auftrag meines Mandanten</w:t>
      </w:r>
    </w:p>
    <w:p>
      <w:pPr>
        <w:jc w:val="left"/>
      </w:pPr>
      <w:r>
        <w:rPr>
          <w:b/>
        </w:rPr>
        <w:t>Daniel Albert Bankert</w:t>
      </w:r>
    </w:p>
    <w:p>
      <w:pPr>
        <w:jc w:val="left"/>
      </w:pPr>
      <w:r>
        <w:t>geboren am 14.03.1979 in Frankfurt am Main</w:t>
      </w:r>
    </w:p>
    <w:p>
      <w:pPr>
        <w:jc w:val="left"/>
      </w:pPr>
      <w:r>
        <w:t>derzeit in Untersuchungshaft, JVA Frankfurt I, Haftraum C 3.12</w:t>
      </w:r>
    </w:p>
    <w:p>
      <w:pPr>
        <w:jc w:val="left"/>
      </w:pPr>
      <w:r>
        <w:t xml:space="preserve">lege ich gegen den Haftbefehl des Landgerichts Frankfurt am Main vom </w:t>
      </w:r>
      <w:r>
        <w:rPr>
          <w:b/>
        </w:rPr>
        <w:t>14. März 2025</w:t>
      </w:r>
      <w:r>
        <w:t xml:space="preserve"> (Az. 5/28 KLs 122/25)</w:t>
      </w:r>
    </w:p>
    <w:p>
      <w:pPr>
        <w:pStyle w:val="Heading2"/>
      </w:pPr>
      <w:r>
        <w:rPr>
          <w:rFonts w:ascii="Times New Roman" w:hAnsi="Times New Roman"/>
        </w:rPr>
        <w:t>HAFTBESCHWERDE</w:t>
      </w:r>
    </w:p>
    <w:p>
      <w:pPr>
        <w:jc w:val="left"/>
      </w:pPr>
      <w:r>
        <w:t xml:space="preserve">gemäß </w:t>
      </w:r>
      <w:r>
        <w:rPr>
          <w:b/>
        </w:rPr>
        <w:t>§§ 304 Abs. 1, 117 StPO</w:t>
      </w:r>
      <w:r>
        <w:t xml:space="preserve"> ein</w:t>
      </w:r>
    </w:p>
    <w:p>
      <w:pPr>
        <w:jc w:val="left"/>
      </w:pPr>
      <w:r>
        <w:t>und beantrage,</w:t>
      </w:r>
    </w:p>
    <w:p>
      <w:pPr>
        <w:pStyle w:val="ListNumber"/>
      </w:pPr>
      <w:r>
        <w:t xml:space="preserve">den Haftbefehl vom 14. März 2025 </w:t>
      </w:r>
      <w:r>
        <w:rPr>
          <w:b/>
        </w:rPr>
        <w:t>aufzuheben</w:t>
      </w:r>
      <w:r>
        <w:t xml:space="preserve"> und die sofortige Entlassung meines Mandanten aus der Untersuchungshaft anzuordnen;</w:t>
      </w:r>
    </w:p>
    <w:p>
      <w:pPr>
        <w:pStyle w:val="ListNumber"/>
      </w:pPr>
      <w:r>
        <w:t xml:space="preserve">hilfsweise: den Haftbefehl gemäß </w:t>
      </w:r>
      <w:r>
        <w:rPr>
          <w:b/>
        </w:rPr>
        <w:t>§ 116 StPO</w:t>
      </w:r>
      <w:r>
        <w:t xml:space="preserve"> außer Vollzug zu setzen und den Vollzug durch mildere Mittel (Meldeauflage, Sicherheitsleistung, Passabgabe) zu ersetzen;</w:t>
      </w:r>
    </w:p>
    <w:p>
      <w:pPr>
        <w:pStyle w:val="ListNumber"/>
      </w:pPr>
      <w:r>
        <w:t>die sofortige Rückgabe des beschlagnahmten Reisepasses meines Mandanten an das Gericht als Treuhänder mit Auflagencharakter anzuordnen.</w:t>
      </w:r>
    </w:p>
    <w:p/>
    <w:p>
      <w:pPr>
        <w:pStyle w:val="Heading2"/>
      </w:pPr>
      <w:r>
        <w:rPr>
          <w:rFonts w:ascii="Times New Roman" w:hAnsi="Times New Roman"/>
        </w:rPr>
        <w:t>A. Sachverhalt</w:t>
      </w:r>
    </w:p>
    <w:p>
      <w:pPr>
        <w:jc w:val="left"/>
      </w:pPr>
      <w:r>
        <w:t xml:space="preserve">Mein Mandant befindet sich seit dem 17. März 2025 — nunmehr </w:t>
      </w:r>
      <w:r>
        <w:rPr>
          <w:b/>
        </w:rPr>
        <w:t>8 Wochen</w:t>
      </w:r>
      <w:r>
        <w:t xml:space="preserve"> — in Untersuchungshaft in der JVA Frankfurt I. Der Haftbefehl stützt sich auf den Haftgrund der </w:t>
      </w:r>
      <w:r>
        <w:rPr>
          <w:b/>
        </w:rPr>
        <w:t>Fluchtgefahr (§ 112 Abs. 2 Nr. 2 StPO)</w:t>
      </w:r>
      <w:r>
        <w:t>. Hilfsweise wird im Haftbefehl Verdunkelungsgefahr (§ 112 Abs. 2 Nr. 3 StPO) angeführt.</w:t>
      </w:r>
    </w:p>
    <w:p>
      <w:pPr>
        <w:jc w:val="left"/>
      </w:pPr>
      <w:r>
        <w:t>Der dringende Tatverdacht (§ 112 Abs. 1 S. 1 StPO) wird für die Zwecke dieser Beschwerde unterstellt; die Verteidigung behält sich vor, auch den dringenden Tatverdacht in der Hauptverhandlung zu bestreiten.</w:t>
      </w:r>
    </w:p>
    <w:p/>
    <w:p>
      <w:pPr>
        <w:pStyle w:val="Heading2"/>
      </w:pPr>
      <w:r>
        <w:rPr>
          <w:rFonts w:ascii="Times New Roman" w:hAnsi="Times New Roman"/>
        </w:rPr>
        <w:t>B. Kein Haftgrund Fluchtgefahr</w:t>
      </w:r>
    </w:p>
    <w:p>
      <w:pPr>
        <w:pStyle w:val="Heading3"/>
      </w:pPr>
      <w:r>
        <w:rPr>
          <w:rFonts w:ascii="Times New Roman" w:hAnsi="Times New Roman"/>
        </w:rPr>
        <w:t>I. Maßstab</w:t>
      </w:r>
    </w:p>
    <w:p>
      <w:pPr>
        <w:jc w:val="left"/>
      </w:pPr>
      <w:r>
        <w:t>Fluchtgefahr im Sinne des § 112 Abs. 2 Nr. 2 StPO ist nur anzunehmen, wenn aufgrund bestimmter Tatsachen bei Würdigung der Umstände des Einzelfalls der begründete Verdacht besteht, dass sich der Beschuldigte dem Verfahren entziehen werde. Die Fluchtgefahr muss konkret und aktuell sein; eine abstrakte Möglichkeit genügt nicht (BGH, Beschluss vom 22.02.1980 — StB 2/80; OLG Frankfurt, Beschluss vom 14.11.2019 — 1 HEs 165/19).</w:t>
      </w:r>
    </w:p>
    <w:p>
      <w:pPr>
        <w:pStyle w:val="Heading3"/>
      </w:pPr>
      <w:r>
        <w:rPr>
          <w:rFonts w:ascii="Times New Roman" w:hAnsi="Times New Roman"/>
        </w:rPr>
        <w:t>II. Anbindung in Frankfurt am Main</w:t>
      </w:r>
    </w:p>
    <w:p>
      <w:pPr>
        <w:jc w:val="left"/>
      </w:pPr>
      <w:r>
        <w:t>Mein Mandant ist ausweislich seines Lebensmittelpunkts seit vielen Jahren in Frankfurt verwurzelt:</w:t>
      </w:r>
    </w:p>
    <w:p>
      <w:pPr>
        <w:pStyle w:val="ListBullet"/>
      </w:pPr>
      <w:r>
        <w:t>Er führt seit 2009 die Bankert Industrieautomation GmbH mit Sitz in Frankfurt; aktuell 23 Mitarbeiter.</w:t>
      </w:r>
    </w:p>
    <w:p>
      <w:pPr>
        <w:pStyle w:val="ListBullet"/>
      </w:pPr>
      <w:r>
        <w:t>Sein Hauptwohnsitz liegt in Frankfurt am Main (Westendstraße 112).</w:t>
      </w:r>
    </w:p>
    <w:p>
      <w:pPr>
        <w:pStyle w:val="ListBullet"/>
      </w:pPr>
      <w:r>
        <w:t>Er unterhält langjährige Geschäftsbeziehungen zu Frankfurter Banken und Gewerbetreibenden.</w:t>
      </w:r>
    </w:p>
    <w:p>
      <w:pPr>
        <w:pStyle w:val="ListBullet"/>
      </w:pPr>
      <w:r>
        <w:t>Seine in Deutschland lebenden Kinder aus erster Ehe (Tobias, 19, und Lena, 16) haben ihren Lebensmittelpunkt in Frankfurt.</w:t>
      </w:r>
    </w:p>
    <w:p>
      <w:pPr>
        <w:pStyle w:val="ListBullet"/>
      </w:pPr>
      <w:r>
        <w:t>Er ist Mitglied im Rotary Club Frankfurt Sachsenhausen und engagiert sich im lokalen Mittelstandsverein.</w:t>
      </w:r>
    </w:p>
    <w:p>
      <w:pPr>
        <w:pStyle w:val="Heading3"/>
      </w:pPr>
      <w:r>
        <w:rPr>
          <w:rFonts w:ascii="Times New Roman" w:hAnsi="Times New Roman"/>
        </w:rPr>
        <w:t>III. Verhältnis zur Ehefrau in Zürich</w:t>
      </w:r>
    </w:p>
    <w:p>
      <w:pPr>
        <w:jc w:val="left"/>
      </w:pPr>
      <w:r>
        <w:t>Der Haftbefehl stützt Fluchtgefahr auf die Tatsache, dass mein Mandant eine Ehefrau in Zürich hat. Dies allein begründet keine Fluchtgefahr. Die Ehe mit der Schweizer Staatsangehörigen ist dem Gericht bekannt und meinem Mandanten nicht vorwerfbar. Die Ehefrau hält sich offen in Zürich auf; sie ist der Staatsanwaltschaft namentlich bekannt und steht jederzeit als Kontaktperson zur Verfügung. Die bloße Existenz familiärer Bindungen im Ausland ist als Haftgrund unzureichend (OLG Frankfurt, Beschluss vom 07.03.2016 — 1 HEs 29/16; OLG Hamburg, Beschluss vom 23.11.2018 — 2 Ws 210/18).</w:t>
      </w:r>
    </w:p>
    <w:p>
      <w:pPr>
        <w:pStyle w:val="Heading3"/>
      </w:pPr>
      <w:r>
        <w:rPr>
          <w:rFonts w:ascii="Times New Roman" w:hAnsi="Times New Roman"/>
        </w:rPr>
        <w:t>IV. Auslandsvermögen</w:t>
      </w:r>
    </w:p>
    <w:p>
      <w:pPr>
        <w:jc w:val="left"/>
      </w:pPr>
      <w:r>
        <w:t>Der Haftbefehl verweist auf Auslandsvermögen in Liechtenstein und Luxemburg. Diese Konten sind der Staatsanwaltschaft bekannt und wurden Gegenstand von Rechtshilfeersuchen. Eine Zugriffsmöglichkeit des Mandanten auf diese Konten ist durch die laufenden Rechtshilfeverfahren und die gerichtlichen Anordnungen (EU-Einfrierungsbeschluss) faktisch erheblich eingeschränkt. Die Konten können nicht kurzfristig liquidiert werden.</w:t>
      </w:r>
    </w:p>
    <w:p>
      <w:pPr>
        <w:pStyle w:val="Heading3"/>
      </w:pPr>
      <w:r>
        <w:rPr>
          <w:rFonts w:ascii="Times New Roman" w:hAnsi="Times New Roman"/>
        </w:rPr>
        <w:t>V. Straferwartung</w:t>
      </w:r>
    </w:p>
    <w:p>
      <w:pPr>
        <w:jc w:val="left"/>
      </w:pPr>
      <w:r>
        <w:t>Die Staatsanwaltschaft selbst hat in ihrem Verständigungsangebot vom 28.04.2025 eine Strafe von 3 Jahren 9 Monaten in Aussicht gestellt, was eine erhebliche Milderung gegenüber dem theoretischen Höchstmaß bedeutet. Diese Straferwartung liegt im mittleren Bereich; sie begründet allein keine unwiderstehliche Fluchtmotivation, zumal mein Mandant — soweit eine Verständigung zustande kommt — nach 2/3 Verbüßung frühzeitig entlassen werden könnte.</w:t>
      </w:r>
    </w:p>
    <w:p/>
    <w:p>
      <w:pPr>
        <w:pStyle w:val="Heading2"/>
      </w:pPr>
      <w:r>
        <w:rPr>
          <w:rFonts w:ascii="Times New Roman" w:hAnsi="Times New Roman"/>
        </w:rPr>
        <w:t>C. Kein Haftgrund Verdunkelungsgefahr</w:t>
      </w:r>
    </w:p>
    <w:p>
      <w:pPr>
        <w:jc w:val="left"/>
      </w:pPr>
      <w:r>
        <w:t>Die hilfsweise angeführte Verdunkelungsgefahr (§ 112 Abs. 2 Nr. 3 StPO) ist nicht mehr tragfähig:</w:t>
      </w:r>
    </w:p>
    <w:p>
      <w:pPr>
        <w:pStyle w:val="ListBullet"/>
      </w:pPr>
      <w:r>
        <w:t>Die Ermittlungen sind abgeschlossen; die Anklage ist erhoben.</w:t>
      </w:r>
    </w:p>
    <w:p>
      <w:pPr>
        <w:pStyle w:val="ListBullet"/>
      </w:pPr>
      <w:r>
        <w:t>Sämtliche relevanten Beweise (Dokumente, Datenträger) wurden bei der Durchsuchung sichergestellt.</w:t>
      </w:r>
    </w:p>
    <w:p>
      <w:pPr>
        <w:pStyle w:val="ListBullet"/>
      </w:pPr>
      <w:r>
        <w:t>Die Zeugen Pollmann und Kohlrausch wurden bereits mehrfach vernommen.</w:t>
      </w:r>
    </w:p>
    <w:p>
      <w:pPr>
        <w:pStyle w:val="ListBullet"/>
      </w:pPr>
      <w:r>
        <w:t>Mein Mandant befindet sich seit 8 Wochen in Haft — ohne dass Verdunkelungshandlungen dokumentiert wurden.</w:t>
      </w:r>
    </w:p>
    <w:p>
      <w:pPr>
        <w:jc w:val="left"/>
      </w:pPr>
      <w:r>
        <w:t>Unter diesen Umständen fehlt es an einer konkreten, aktuellen Verdunkelungsgefahr (vgl. BGH, Beschluss vom 20.08.2014 — StB 11/14).</w:t>
      </w:r>
    </w:p>
    <w:p/>
    <w:p>
      <w:pPr>
        <w:pStyle w:val="Heading2"/>
      </w:pPr>
      <w:r>
        <w:rPr>
          <w:rFonts w:ascii="Times New Roman" w:hAnsi="Times New Roman"/>
        </w:rPr>
        <w:t>D. Unverhältnismäßigkeit der U-Haft</w:t>
      </w:r>
    </w:p>
    <w:p>
      <w:pPr>
        <w:pStyle w:val="Heading3"/>
      </w:pPr>
      <w:r>
        <w:rPr>
          <w:rFonts w:ascii="Times New Roman" w:hAnsi="Times New Roman"/>
        </w:rPr>
        <w:t>I. Zeitdauer</w:t>
      </w:r>
    </w:p>
    <w:p>
      <w:pPr>
        <w:jc w:val="left"/>
      </w:pPr>
      <w:r>
        <w:t>Mein Mandant befindet sich seit 8 Wochen in Haft. Die Hauptverhandlung beginnt in 6 Wochen (23. Juni 2025). Es besteht keine Notwendigkeit, meinen Mandanten bis zur Hauptverhandlung in Haft zu belassen.</w:t>
      </w:r>
    </w:p>
    <w:p>
      <w:pPr>
        <w:pStyle w:val="Heading3"/>
      </w:pPr>
      <w:r>
        <w:rPr>
          <w:rFonts w:ascii="Times New Roman" w:hAnsi="Times New Roman"/>
        </w:rPr>
        <w:t>II. Wirtschaftliche Folgen</w:t>
      </w:r>
    </w:p>
    <w:p>
      <w:pPr>
        <w:jc w:val="left"/>
      </w:pPr>
      <w:r>
        <w:t>Die andauernde Untersuchungshaft bedroht die Bankert Industrieautomation GmbH mit der Insolvenz. Als Alleingeschäftsführer kann mein Mandant seine Führungsaufgaben nicht wahrnehmen; Lieferverträge laufen aus, Bankkredite (Gesamtlinie 1,2 Mio. EUR) sind von der finanzierenden Bank auf Kündigung gestellt worden (vgl. Schreiben Commerzbank Frankfurt vom 28.04.2025, Anlage 3). 23 Arbeitsplätze sind bedroht. Diese wirtschaftlichen Folgen stehen in keinem angemessenen Verhältnis zur noch ausstehenden Hauptverhandlung.</w:t>
      </w:r>
    </w:p>
    <w:p>
      <w:pPr>
        <w:pStyle w:val="Heading3"/>
      </w:pPr>
      <w:r>
        <w:rPr>
          <w:rFonts w:ascii="Times New Roman" w:hAnsi="Times New Roman"/>
        </w:rPr>
        <w:t>III. Mildere Mittel (§ 116 StPO)</w:t>
      </w:r>
    </w:p>
    <w:p>
      <w:pPr>
        <w:jc w:val="left"/>
      </w:pPr>
      <w:r>
        <w:t xml:space="preserve">Hilfsweise beantrage ich, den Haftbefehl gemäß </w:t>
      </w:r>
      <w:r>
        <w:rPr>
          <w:b/>
        </w:rPr>
        <w:t>§ 116 Abs. 1 StPO</w:t>
      </w:r>
      <w:r>
        <w:t xml:space="preserve"> außer Vollzug zu setzen und folgende Auflagen zu verhängen:</w:t>
      </w:r>
    </w:p>
    <w:p>
      <w:pPr>
        <w:pStyle w:val="ListBullet"/>
      </w:pPr>
      <w:r>
        <w:t>Hinterlegung des Reisepasses beim Amtsgericht Frankfurt am Main,</w:t>
      </w:r>
    </w:p>
    <w:p>
      <w:pPr>
        <w:pStyle w:val="ListBullet"/>
      </w:pPr>
      <w:r>
        <w:t>Wöchentliche Meldepflicht bei der Polizeiinspektion Frankfurt-Innenstadt,</w:t>
      </w:r>
    </w:p>
    <w:p>
      <w:pPr>
        <w:pStyle w:val="ListBullet"/>
      </w:pPr>
      <w:r>
        <w:t xml:space="preserve">Hinterlegung einer Sicherheitsleistung in Höhe von </w:t>
      </w:r>
      <w:r>
        <w:rPr>
          <w:b/>
        </w:rPr>
        <w:t>500.000 EUR</w:t>
      </w:r>
      <w:r>
        <w:t xml:space="preserve"> (Bankbürgschaft),</w:t>
      </w:r>
    </w:p>
    <w:p>
      <w:pPr>
        <w:pStyle w:val="ListBullet"/>
      </w:pPr>
      <w:r>
        <w:t>Verbot, das Bundesgebiet zu verlassen,</w:t>
      </w:r>
    </w:p>
    <w:p>
      <w:pPr>
        <w:pStyle w:val="ListBullet"/>
      </w:pPr>
      <w:r>
        <w:t>Verbot, Kontakt zu den Zeugen Pollmann und Kohlrausch aufzunehmen.</w:t>
      </w:r>
    </w:p>
    <w:p>
      <w:pPr>
        <w:jc w:val="left"/>
      </w:pPr>
      <w:r>
        <w:t>Diese Auflagen sind geeignet, den Haftzweck (Sicherung der Hauptverhandlung) zu gewährleisten, ohne den Mandanten in unverhältnismäßiger Weise zu belasten.</w:t>
      </w:r>
    </w:p>
    <w:p/>
    <w:p>
      <w:pPr>
        <w:pStyle w:val="Heading2"/>
      </w:pPr>
      <w:r>
        <w:rPr>
          <w:rFonts w:ascii="Times New Roman" w:hAnsi="Times New Roman"/>
        </w:rPr>
        <w:t>E. Anlagen</w:t>
      </w:r>
    </w:p>
    <w:p>
      <w:pPr>
        <w:pStyle w:val="ListBullet"/>
      </w:pPr>
      <w:r>
        <w:t>Anlage 1: Nachweis Wohnsitz Frankfurt am Main (Meldebestätigung)</w:t>
      </w:r>
    </w:p>
    <w:p>
      <w:pPr>
        <w:pStyle w:val="ListBullet"/>
      </w:pPr>
      <w:r>
        <w:t>Anlage 2: Nachweis Mitgliedschaft Rotary Club Frankfurt Sachsenhausen</w:t>
      </w:r>
    </w:p>
    <w:p>
      <w:pPr>
        <w:pStyle w:val="ListBullet"/>
      </w:pPr>
      <w:r>
        <w:t>Anlage 3: Schreiben Commerzbank Frankfurt vom 28.04.2025 (Kreditkündigung)</w:t>
      </w:r>
    </w:p>
    <w:p>
      <w:pPr>
        <w:pStyle w:val="ListBullet"/>
      </w:pPr>
      <w:r>
        <w:t>Anlage 4: Vollmacht vom 20.03.2025</w:t>
      </w:r>
    </w:p>
    <w:p>
      <w:pPr>
        <w:jc w:val="left"/>
      </w:pPr>
      <w:r>
        <w:t>Mit freundlichen kollegialen Grüßen</w:t>
      </w:r>
    </w:p>
    <w:p>
      <w:pPr>
        <w:jc w:val="left"/>
      </w:pPr>
      <w:r>
        <w:rPr>
          <w:b/>
        </w:rPr>
        <w:t>Dr. Friederike Marx</w:t>
      </w:r>
    </w:p>
    <w:p>
      <w:pPr>
        <w:jc w:val="left"/>
      </w:pPr>
      <w:r>
        <w:t>Fachanwältin für Strafrecht</w:t>
      </w:r>
    </w:p>
    <w:p>
      <w:pPr>
        <w:jc w:val="left"/>
      </w:pPr>
      <w:r>
        <w:t>Marx Strafverteidigung Frankfurt</w:t>
      </w:r>
    </w:p>
    <w:p/>
    <w:p>
      <w:pPr>
        <w:jc w:val="left"/>
      </w:pPr>
      <w:r>
        <w:rPr>
          <w:i/>
        </w:rPr>
        <w:t>Az.: 5/28 KLs 122/25 — Az. StA: 5400 Js 14782/24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