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Steuerhinterziehung § 370 AO — Betragsberechnung und Verteidigungsanalyse</w:t>
      </w:r>
    </w:p>
    <w:p>
      <w:pPr>
        <w:jc w:val="left"/>
      </w:pPr>
      <w:r>
        <w:rPr>
          <w:b/>
        </w:rPr>
        <w:t>Marx Strafverteidigung Frankfurt</w:t>
      </w:r>
    </w:p>
    <w:p>
      <w:pPr>
        <w:jc w:val="left"/>
      </w:pPr>
      <w:r>
        <w:rPr>
          <w:b/>
        </w:rPr>
        <w:t>Vertraulich — Anwaltsgeheimnis § 53 StPO</w:t>
      </w:r>
    </w:p>
    <w:p>
      <w:pPr>
        <w:jc w:val="left"/>
      </w:pPr>
      <w:r>
        <w:t>Erstellt von: Dr. Friederike Marx / Dipl.-Kfm. O. Strenger</w:t>
      </w:r>
    </w:p>
    <w:p>
      <w:pPr>
        <w:jc w:val="left"/>
      </w:pPr>
      <w:r>
        <w:t>Datum: 27. April 2025</w:t>
      </w:r>
    </w:p>
    <w:p>
      <w:pPr>
        <w:jc w:val="left"/>
      </w:pPr>
      <w:r>
        <w:t>Az.: 5/28 KLs 122/25 / 5400 Js 14782/24</w:t>
      </w:r>
    </w:p>
    <w:p/>
    <w:p>
      <w:pPr>
        <w:pStyle w:val="Heading2"/>
      </w:pPr>
      <w:r>
        <w:rPr>
          <w:rFonts w:ascii="Times New Roman" w:hAnsi="Times New Roman"/>
        </w:rPr>
        <w:t>1. Tatvorwurf im Überblick</w:t>
      </w:r>
    </w:p>
    <w:p>
      <w:pPr>
        <w:jc w:val="left"/>
      </w:pPr>
      <w:r>
        <w:t xml:space="preserve">Die Staatsanwaltschaft wirft dem Mandanten vor, für die Veranlagungszeiträume </w:t>
      </w:r>
      <w:r>
        <w:rPr>
          <w:b/>
        </w:rPr>
        <w:t>2019 bis 2022</w:t>
      </w:r>
      <w:r>
        <w:t xml:space="preserve"> unrichtige Steuererklärungen der Bankert Industrieautomation GmbH beim Finanzamt Frankfurt am Main IV abgegeben und dadurch Steuern in Höhe von insgesamt ca. </w:t>
      </w:r>
      <w:r>
        <w:rPr>
          <w:b/>
        </w:rPr>
        <w:t>1.100.000 EUR</w:t>
      </w:r>
      <w:r>
        <w:t xml:space="preserve"> verkürzt zu haben (§ 370 Abs. 1 Nr. 1, Abs. 3 S. 2 Nr. 1 AO — besonders schwerer Fall, da verkürzte Steuerbeträge über 50.000 EUR je Tat).</w:t>
      </w:r>
    </w:p>
    <w:p/>
    <w:p>
      <w:pPr>
        <w:pStyle w:val="Heading2"/>
      </w:pPr>
      <w:r>
        <w:rPr>
          <w:rFonts w:ascii="Times New Roman" w:hAnsi="Times New Roman"/>
        </w:rPr>
        <w:t>2. Anklageschrift-Zahlen (Ohlsen-Gutachten) vs. Verteidigungsanalyse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VZ</w:t>
            </w:r>
          </w:p>
        </w:tc>
        <w:tc>
          <w:tcPr>
            <w:tcW w:type="dxa" w:w="1296"/>
          </w:tcPr>
          <w:p>
            <w:r>
              <w:rPr>
                <w:rFonts w:ascii="Times New Roman" w:hAnsi="Times New Roman"/>
                <w:b/>
                <w:sz w:val="20"/>
              </w:rPr>
              <w:t>KSt+SolZ (Anklage)</w:t>
            </w:r>
          </w:p>
        </w:tc>
        <w:tc>
          <w:tcPr>
            <w:tcW w:type="dxa" w:w="1296"/>
          </w:tcPr>
          <w:p>
            <w:r>
              <w:rPr>
                <w:rFonts w:ascii="Times New Roman" w:hAnsi="Times New Roman"/>
                <w:b/>
                <w:sz w:val="20"/>
              </w:rPr>
              <w:t>GewSt (Anklage)</w:t>
            </w:r>
          </w:p>
        </w:tc>
        <w:tc>
          <w:tcPr>
            <w:tcW w:type="dxa" w:w="1296"/>
          </w:tcPr>
          <w:p>
            <w:r>
              <w:rPr>
                <w:rFonts w:ascii="Times New Roman" w:hAnsi="Times New Roman"/>
                <w:b/>
                <w:sz w:val="20"/>
              </w:rPr>
              <w:t>USt (Anklage)</w:t>
            </w:r>
          </w:p>
        </w:tc>
        <w:tc>
          <w:tcPr>
            <w:tcW w:type="dxa" w:w="1296"/>
          </w:tcPr>
          <w:p>
            <w:r>
              <w:rPr>
                <w:rFonts w:ascii="Times New Roman" w:hAnsi="Times New Roman"/>
                <w:b/>
                <w:sz w:val="20"/>
              </w:rPr>
              <w:t>Gesamt (Anklage)</w:t>
            </w:r>
          </w:p>
        </w:tc>
        <w:tc>
          <w:tcPr>
            <w:tcW w:type="dxa" w:w="1296"/>
          </w:tcPr>
          <w:p>
            <w:r>
              <w:rPr>
                <w:rFonts w:ascii="Times New Roman" w:hAnsi="Times New Roman"/>
                <w:b/>
                <w:sz w:val="20"/>
              </w:rPr>
              <w:t>Gesamt (Verteidigung geschätzt)</w:t>
            </w:r>
          </w:p>
        </w:tc>
        <w:tc>
          <w:tcPr>
            <w:tcW w:type="dxa" w:w="1296"/>
          </w:tcPr>
          <w:p>
            <w:r>
              <w:rPr>
                <w:rFonts w:ascii="Times New Roman" w:hAnsi="Times New Roman"/>
                <w:b/>
                <w:sz w:val="20"/>
              </w:rPr>
              <w:t>Differenz</w:t>
            </w:r>
          </w:p>
        </w:tc>
      </w:tr>
      <w:tr>
        <w:tc>
          <w:tcPr>
            <w:tcW w:type="dxa" w:w="1296"/>
          </w:tcPr>
          <w:p>
            <w:r>
              <w:rPr>
                <w:rFonts w:ascii="Times New Roman" w:hAnsi="Times New Roman"/>
                <w:sz w:val="20"/>
              </w:rPr>
              <w:t>2019</w:t>
            </w:r>
          </w:p>
        </w:tc>
        <w:tc>
          <w:tcPr>
            <w:tcW w:type="dxa" w:w="1296"/>
          </w:tcPr>
          <w:p>
            <w:r>
              <w:rPr>
                <w:rFonts w:ascii="Times New Roman" w:hAnsi="Times New Roman"/>
                <w:sz w:val="20"/>
              </w:rPr>
              <w:t>98.000 EUR</w:t>
            </w:r>
          </w:p>
        </w:tc>
        <w:tc>
          <w:tcPr>
            <w:tcW w:type="dxa" w:w="1296"/>
          </w:tcPr>
          <w:p>
            <w:r>
              <w:rPr>
                <w:rFonts w:ascii="Times New Roman" w:hAnsi="Times New Roman"/>
                <w:sz w:val="20"/>
              </w:rPr>
              <w:t>32.000 EUR</w:t>
            </w:r>
          </w:p>
        </w:tc>
        <w:tc>
          <w:tcPr>
            <w:tcW w:type="dxa" w:w="1296"/>
          </w:tcPr>
          <w:p>
            <w:r>
              <w:rPr>
                <w:rFonts w:ascii="Times New Roman" w:hAnsi="Times New Roman"/>
                <w:sz w:val="20"/>
              </w:rPr>
              <w:t>55.000 EUR</w:t>
            </w:r>
          </w:p>
        </w:tc>
        <w:tc>
          <w:tcPr>
            <w:tcW w:type="dxa" w:w="1296"/>
          </w:tcPr>
          <w:p>
            <w:r>
              <w:rPr>
                <w:rFonts w:ascii="Times New Roman" w:hAnsi="Times New Roman"/>
                <w:sz w:val="20"/>
              </w:rPr>
              <w:t>185.000 EUR</w:t>
            </w:r>
          </w:p>
        </w:tc>
        <w:tc>
          <w:tcPr>
            <w:tcW w:type="dxa" w:w="1296"/>
          </w:tcPr>
          <w:p>
            <w:r>
              <w:rPr>
                <w:rFonts w:ascii="Times New Roman" w:hAnsi="Times New Roman"/>
                <w:sz w:val="20"/>
              </w:rPr>
              <w:t>120.000 EUR</w:t>
            </w:r>
          </w:p>
        </w:tc>
        <w:tc>
          <w:tcPr>
            <w:tcW w:type="dxa" w:w="1296"/>
          </w:tcPr>
          <w:p>
            <w:r>
              <w:rPr>
                <w:rFonts w:ascii="Times New Roman" w:hAnsi="Times New Roman"/>
                <w:sz w:val="20"/>
              </w:rPr>
              <w:t>- 65.000 EUR</w:t>
            </w:r>
          </w:p>
        </w:tc>
      </w:tr>
      <w:tr>
        <w:tc>
          <w:tcPr>
            <w:tcW w:type="dxa" w:w="1296"/>
          </w:tcPr>
          <w:p>
            <w:r>
              <w:rPr>
                <w:rFonts w:ascii="Times New Roman" w:hAnsi="Times New Roman"/>
                <w:sz w:val="20"/>
              </w:rPr>
              <w:t>2020</w:t>
            </w:r>
          </w:p>
        </w:tc>
        <w:tc>
          <w:tcPr>
            <w:tcW w:type="dxa" w:w="1296"/>
          </w:tcPr>
          <w:p>
            <w:r>
              <w:rPr>
                <w:rFonts w:ascii="Times New Roman" w:hAnsi="Times New Roman"/>
                <w:sz w:val="20"/>
              </w:rPr>
              <w:t>145.000 EUR</w:t>
            </w:r>
          </w:p>
        </w:tc>
        <w:tc>
          <w:tcPr>
            <w:tcW w:type="dxa" w:w="1296"/>
          </w:tcPr>
          <w:p>
            <w:r>
              <w:rPr>
                <w:rFonts w:ascii="Times New Roman" w:hAnsi="Times New Roman"/>
                <w:sz w:val="20"/>
              </w:rPr>
              <w:t>48.000 EUR</w:t>
            </w:r>
          </w:p>
        </w:tc>
        <w:tc>
          <w:tcPr>
            <w:tcW w:type="dxa" w:w="1296"/>
          </w:tcPr>
          <w:p>
            <w:r>
              <w:rPr>
                <w:rFonts w:ascii="Times New Roman" w:hAnsi="Times New Roman"/>
                <w:sz w:val="20"/>
              </w:rPr>
              <w:t>80.000 EUR</w:t>
            </w:r>
          </w:p>
        </w:tc>
        <w:tc>
          <w:tcPr>
            <w:tcW w:type="dxa" w:w="1296"/>
          </w:tcPr>
          <w:p>
            <w:r>
              <w:rPr>
                <w:rFonts w:ascii="Times New Roman" w:hAnsi="Times New Roman"/>
                <w:sz w:val="20"/>
              </w:rPr>
              <w:t>273.000 EUR</w:t>
            </w:r>
          </w:p>
        </w:tc>
        <w:tc>
          <w:tcPr>
            <w:tcW w:type="dxa" w:w="1296"/>
          </w:tcPr>
          <w:p>
            <w:r>
              <w:rPr>
                <w:rFonts w:ascii="Times New Roman" w:hAnsi="Times New Roman"/>
                <w:sz w:val="20"/>
              </w:rPr>
              <w:t>195.000 EUR</w:t>
            </w:r>
          </w:p>
        </w:tc>
        <w:tc>
          <w:tcPr>
            <w:tcW w:type="dxa" w:w="1296"/>
          </w:tcPr>
          <w:p>
            <w:r>
              <w:rPr>
                <w:rFonts w:ascii="Times New Roman" w:hAnsi="Times New Roman"/>
                <w:sz w:val="20"/>
              </w:rPr>
              <w:t>- 78.000 EUR</w:t>
            </w:r>
          </w:p>
        </w:tc>
      </w:tr>
      <w:tr>
        <w:tc>
          <w:tcPr>
            <w:tcW w:type="dxa" w:w="1296"/>
          </w:tcPr>
          <w:p>
            <w:r>
              <w:rPr>
                <w:rFonts w:ascii="Times New Roman" w:hAnsi="Times New Roman"/>
                <w:sz w:val="20"/>
              </w:rPr>
              <w:t>2021</w:t>
            </w:r>
          </w:p>
        </w:tc>
        <w:tc>
          <w:tcPr>
            <w:tcW w:type="dxa" w:w="1296"/>
          </w:tcPr>
          <w:p>
            <w:r>
              <w:rPr>
                <w:rFonts w:ascii="Times New Roman" w:hAnsi="Times New Roman"/>
                <w:sz w:val="20"/>
              </w:rPr>
              <w:t>182.000 EUR</w:t>
            </w:r>
          </w:p>
        </w:tc>
        <w:tc>
          <w:tcPr>
            <w:tcW w:type="dxa" w:w="1296"/>
          </w:tcPr>
          <w:p>
            <w:r>
              <w:rPr>
                <w:rFonts w:ascii="Times New Roman" w:hAnsi="Times New Roman"/>
                <w:sz w:val="20"/>
              </w:rPr>
              <w:t>62.000 EUR</w:t>
            </w:r>
          </w:p>
        </w:tc>
        <w:tc>
          <w:tcPr>
            <w:tcW w:type="dxa" w:w="1296"/>
          </w:tcPr>
          <w:p>
            <w:r>
              <w:rPr>
                <w:rFonts w:ascii="Times New Roman" w:hAnsi="Times New Roman"/>
                <w:sz w:val="20"/>
              </w:rPr>
              <w:t>110.000 EUR</w:t>
            </w:r>
          </w:p>
        </w:tc>
        <w:tc>
          <w:tcPr>
            <w:tcW w:type="dxa" w:w="1296"/>
          </w:tcPr>
          <w:p>
            <w:r>
              <w:rPr>
                <w:rFonts w:ascii="Times New Roman" w:hAnsi="Times New Roman"/>
                <w:sz w:val="20"/>
              </w:rPr>
              <w:t>354.000 EUR</w:t>
            </w:r>
          </w:p>
        </w:tc>
        <w:tc>
          <w:tcPr>
            <w:tcW w:type="dxa" w:w="1296"/>
          </w:tcPr>
          <w:p>
            <w:r>
              <w:rPr>
                <w:rFonts w:ascii="Times New Roman" w:hAnsi="Times New Roman"/>
                <w:sz w:val="20"/>
              </w:rPr>
              <w:t>260.000 EUR</w:t>
            </w:r>
          </w:p>
        </w:tc>
        <w:tc>
          <w:tcPr>
            <w:tcW w:type="dxa" w:w="1296"/>
          </w:tcPr>
          <w:p>
            <w:r>
              <w:rPr>
                <w:rFonts w:ascii="Times New Roman" w:hAnsi="Times New Roman"/>
                <w:sz w:val="20"/>
              </w:rPr>
              <w:t>- 94.000 EUR</w:t>
            </w:r>
          </w:p>
        </w:tc>
      </w:tr>
      <w:tr>
        <w:tc>
          <w:tcPr>
            <w:tcW w:type="dxa" w:w="1296"/>
          </w:tcPr>
          <w:p>
            <w:r>
              <w:rPr>
                <w:rFonts w:ascii="Times New Roman" w:hAnsi="Times New Roman"/>
                <w:sz w:val="20"/>
              </w:rPr>
              <w:t>2022</w:t>
            </w:r>
          </w:p>
        </w:tc>
        <w:tc>
          <w:tcPr>
            <w:tcW w:type="dxa" w:w="1296"/>
          </w:tcPr>
          <w:p>
            <w:r>
              <w:rPr>
                <w:rFonts w:ascii="Times New Roman" w:hAnsi="Times New Roman"/>
                <w:sz w:val="20"/>
              </w:rPr>
              <w:t>135.000 EUR</w:t>
            </w:r>
          </w:p>
        </w:tc>
        <w:tc>
          <w:tcPr>
            <w:tcW w:type="dxa" w:w="1296"/>
          </w:tcPr>
          <w:p>
            <w:r>
              <w:rPr>
                <w:rFonts w:ascii="Times New Roman" w:hAnsi="Times New Roman"/>
                <w:sz w:val="20"/>
              </w:rPr>
              <w:t>48.000 EUR</w:t>
            </w:r>
          </w:p>
        </w:tc>
        <w:tc>
          <w:tcPr>
            <w:tcW w:type="dxa" w:w="1296"/>
          </w:tcPr>
          <w:p>
            <w:r>
              <w:rPr>
                <w:rFonts w:ascii="Times New Roman" w:hAnsi="Times New Roman"/>
                <w:sz w:val="20"/>
              </w:rPr>
              <w:t>105.000 EUR</w:t>
            </w:r>
          </w:p>
        </w:tc>
        <w:tc>
          <w:tcPr>
            <w:tcW w:type="dxa" w:w="1296"/>
          </w:tcPr>
          <w:p>
            <w:r>
              <w:rPr>
                <w:rFonts w:ascii="Times New Roman" w:hAnsi="Times New Roman"/>
                <w:sz w:val="20"/>
              </w:rPr>
              <w:t>288.000 EUR</w:t>
            </w:r>
          </w:p>
        </w:tc>
        <w:tc>
          <w:tcPr>
            <w:tcW w:type="dxa" w:w="1296"/>
          </w:tcPr>
          <w:p>
            <w:r>
              <w:rPr>
                <w:rFonts w:ascii="Times New Roman" w:hAnsi="Times New Roman"/>
                <w:sz w:val="20"/>
              </w:rPr>
              <w:t>200.000 EUR</w:t>
            </w:r>
          </w:p>
        </w:tc>
        <w:tc>
          <w:tcPr>
            <w:tcW w:type="dxa" w:w="1296"/>
          </w:tcPr>
          <w:p>
            <w:r>
              <w:rPr>
                <w:rFonts w:ascii="Times New Roman" w:hAnsi="Times New Roman"/>
                <w:sz w:val="20"/>
              </w:rPr>
              <w:t>- 88.000 EUR</w:t>
            </w:r>
          </w:p>
        </w:tc>
      </w:tr>
      <w:tr>
        <w:tc>
          <w:tcPr>
            <w:tcW w:type="dxa" w:w="1296"/>
          </w:tcPr>
          <w:p>
            <w:r>
              <w:rPr>
                <w:rFonts w:ascii="Times New Roman" w:hAnsi="Times New Roman"/>
                <w:b/>
                <w:sz w:val="20"/>
              </w:rPr>
              <w:t>Gesamt</w:t>
            </w:r>
          </w:p>
        </w:tc>
        <w:tc>
          <w:tcPr>
            <w:tcW w:type="dxa" w:w="1296"/>
          </w:tcPr>
          <w:p>
            <w:r>
              <w:rPr>
                <w:rFonts w:ascii="Times New Roman" w:hAnsi="Times New Roman"/>
                <w:b/>
                <w:sz w:val="20"/>
              </w:rPr>
              <w:t>560.000 EUR</w:t>
            </w:r>
          </w:p>
        </w:tc>
        <w:tc>
          <w:tcPr>
            <w:tcW w:type="dxa" w:w="1296"/>
          </w:tcPr>
          <w:p>
            <w:r>
              <w:rPr>
                <w:rFonts w:ascii="Times New Roman" w:hAnsi="Times New Roman"/>
                <w:b/>
                <w:sz w:val="20"/>
              </w:rPr>
              <w:t>190.000 EUR</w:t>
            </w:r>
          </w:p>
        </w:tc>
        <w:tc>
          <w:tcPr>
            <w:tcW w:type="dxa" w:w="1296"/>
          </w:tcPr>
          <w:p>
            <w:r>
              <w:rPr>
                <w:rFonts w:ascii="Times New Roman" w:hAnsi="Times New Roman"/>
                <w:b/>
                <w:sz w:val="20"/>
              </w:rPr>
              <w:t>350.000 EUR</w:t>
            </w:r>
          </w:p>
        </w:tc>
        <w:tc>
          <w:tcPr>
            <w:tcW w:type="dxa" w:w="1296"/>
          </w:tcPr>
          <w:p>
            <w:r>
              <w:rPr>
                <w:rFonts w:ascii="Times New Roman" w:hAnsi="Times New Roman"/>
                <w:b/>
                <w:sz w:val="20"/>
              </w:rPr>
              <w:t>1.100.000 EUR</w:t>
            </w:r>
          </w:p>
        </w:tc>
        <w:tc>
          <w:tcPr>
            <w:tcW w:type="dxa" w:w="1296"/>
          </w:tcPr>
          <w:p>
            <w:r>
              <w:rPr>
                <w:rFonts w:ascii="Times New Roman" w:hAnsi="Times New Roman"/>
                <w:b/>
                <w:sz w:val="20"/>
              </w:rPr>
              <w:t>775.000 EUR</w:t>
            </w:r>
          </w:p>
        </w:tc>
        <w:tc>
          <w:tcPr>
            <w:tcW w:type="dxa" w:w="1296"/>
          </w:tcPr>
          <w:p>
            <w:r>
              <w:rPr>
                <w:rFonts w:ascii="Times New Roman" w:hAnsi="Times New Roman"/>
                <w:b/>
                <w:sz w:val="20"/>
              </w:rPr>
              <w:t>- 325.000 EUR</w:t>
            </w:r>
          </w:p>
        </w:tc>
      </w:tr>
    </w:tbl>
    <w:p>
      <w:pPr>
        <w:jc w:val="left"/>
      </w:pPr>
      <w:r>
        <w:rPr>
          <w:i/>
        </w:rPr>
        <w:t>(Detaillierte Berechnung vgl. XLSX-Anlage 14_steuerhinterziehung_berechnung.xlsx)</w:t>
      </w:r>
    </w:p>
    <w:p/>
    <w:p>
      <w:pPr>
        <w:pStyle w:val="Heading2"/>
      </w:pPr>
      <w:r>
        <w:rPr>
          <w:rFonts w:ascii="Times New Roman" w:hAnsi="Times New Roman"/>
        </w:rPr>
        <w:t>3. Kritik an der Berechnung des Gutachters Ohlsen</w:t>
      </w:r>
    </w:p>
    <w:p>
      <w:pPr>
        <w:pStyle w:val="Heading3"/>
      </w:pPr>
      <w:r>
        <w:rPr>
          <w:rFonts w:ascii="Times New Roman" w:hAnsi="Times New Roman"/>
        </w:rPr>
        <w:t>3.1 Nicht abzugsfähige Bestechungszahlungen</w:t>
      </w:r>
    </w:p>
    <w:p>
      <w:pPr>
        <w:jc w:val="left"/>
      </w:pPr>
      <w:r>
        <w:t>Das Gutachten Ohlsen setzt voraus, dass die als „Repräsentationskosten" verbuchten Beträge tatsächlich Bestechungszahlungen waren und daher gemäß § 4 Abs. 5 S. 1 Nr. 10 EStG (i.V.m. § 8 Abs. 1 KStG) nicht als Betriebsausgaben abzugsfähig sind. Hierfür besteht aber keine ausreichende Tatsachengrundlage; der Bestechungsvorwurf selbst ist bestritten. Wenn die Verteidigung den Bestechungsvorwurf erfolgreich erschüttern kann, entfällt ein Teil der Grundlage für die Steuerberechnungen.</w:t>
      </w:r>
    </w:p>
    <w:p>
      <w:pPr>
        <w:pStyle w:val="Heading3"/>
      </w:pPr>
      <w:r>
        <w:rPr>
          <w:rFonts w:ascii="Times New Roman" w:hAnsi="Times New Roman"/>
        </w:rPr>
        <w:t>3.2 Zurechnung von Betriebseinnahmen</w:t>
      </w:r>
    </w:p>
    <w:p>
      <w:pPr>
        <w:jc w:val="left"/>
      </w:pPr>
      <w:r>
        <w:t>Ohlsen rechnet dem Mandanten bestimmte Zahlungen der ABC SE zu, die teilweise auf Konten der GmbH eingingen, die er nicht für vollständig operativ hält. Hier ist eine genaue buchhalterische Analyse erforderlich.</w:t>
      </w:r>
    </w:p>
    <w:p>
      <w:pPr>
        <w:pStyle w:val="Heading3"/>
      </w:pPr>
      <w:r>
        <w:rPr>
          <w:rFonts w:ascii="Times New Roman" w:hAnsi="Times New Roman"/>
        </w:rPr>
        <w:t>3.3 Steuerberater-Verantwortlichkeit</w:t>
      </w:r>
    </w:p>
    <w:p>
      <w:pPr>
        <w:jc w:val="left"/>
      </w:pPr>
      <w:r>
        <w:t>Der Mandant hat angegeben, die Steuererklärungen seien von Dipl.-Kfm. Bruns erstellt worden; er habe nur unterschrieben. Nach § 370 Abs. 1 Nr. 1 AO setzt die Strafbarkeit des Steuerpflichtigen ein Handeln im Bewusstsein der Unrichtigkeit voraus (dolus directus). Wenn der Mandant die Erklärungen unterschrieben hat, ohne von deren Unrichtigkeit gewusst zu haben, fehlt es am Vorsatz.</w:t>
      </w:r>
    </w:p>
    <w:p>
      <w:pPr>
        <w:jc w:val="left"/>
      </w:pPr>
      <w:r>
        <w:rPr>
          <w:b/>
        </w:rPr>
        <w:t>Ermittlungsauftrag:</w:t>
      </w:r>
      <w:r>
        <w:t xml:space="preserve"> Vollständige Befragung Steuerberater Bruns; Prüfung, ob Bruns die relevanten Informationen vom Mandanten erhalten hat und ob er ihn über steuerliche Konsequenzen der Buchungen aufgeklärt hat.</w:t>
      </w:r>
    </w:p>
    <w:p/>
    <w:p>
      <w:pPr>
        <w:pStyle w:val="Heading2"/>
      </w:pPr>
      <w:r>
        <w:rPr>
          <w:rFonts w:ascii="Times New Roman" w:hAnsi="Times New Roman"/>
        </w:rPr>
        <w:t>4. Besonders schwerer Fall — § 370 Abs. 3 AO</w:t>
      </w:r>
    </w:p>
    <w:p>
      <w:pPr>
        <w:jc w:val="left"/>
      </w:pPr>
      <w:r>
        <w:t>Die Staatsanwaltschaft bewertet die Taten als besonders schwere Fälle gemäß § 370 Abs. 3 S. 2 Nr. 1 AO (verkürzte Steuer jeweils über 50.000 EUR). Dies erhöht den Strafrahmen auf Freiheitsstrafe von einem Jahr bis zu zehn Jahren.</w:t>
      </w:r>
    </w:p>
    <w:p>
      <w:pPr>
        <w:jc w:val="left"/>
      </w:pPr>
      <w:r>
        <w:rPr>
          <w:b/>
        </w:rPr>
        <w:t>Bewertung:</w:t>
      </w:r>
      <w:r>
        <w:t xml:space="preserve"> Die Qualifikation setzt voraus, dass jede einzelne Tat (jeder Veranlagungszeitraum) die Schwelle von 50.000 EUR überschreitet. Für VZ 2019 liegt die Anklageschrift-Zahl bei 185.000 EUR, die Verteidigungsschätzung bei 120.000 EUR — jeweils über 50.000 EUR. Der besonders schwere Fall dürfte in allen vier VZ begründbar sein, wenn die Grundbeträge der Staatsanwaltschaft auch nur annähernd stimmen. Die Grenze ist jedoch anfechtbar, wenn die Verteidigung zeigt, dass tatsächliche Steuerverkürzungen deutlich geringer sind.</w:t>
      </w:r>
    </w:p>
    <w:p/>
    <w:p>
      <w:pPr>
        <w:pStyle w:val="Heading2"/>
      </w:pPr>
      <w:r>
        <w:rPr>
          <w:rFonts w:ascii="Times New Roman" w:hAnsi="Times New Roman"/>
        </w:rPr>
        <w:t>5. Selbstanzeige (§ 371 AO)</w:t>
      </w:r>
    </w:p>
    <w:p>
      <w:pPr>
        <w:jc w:val="left"/>
      </w:pPr>
      <w:r>
        <w:t>Eine strafbefreiende Selbstanzeige nach § 371 AO scheidet zu diesem Zeitpunkt aus, da das Ermittlungsverfahren bereits eröffnet und dem Mandanten bekanntgegeben wurde (§ 371 Abs. 2 S. 1 Nr. 1 lit. b AO). Nachmeldungen und Steuernachzahlungen können aber als Zeichen kooperativen Verhaltens im Rahmen der Strafzumessung berücksichtigt werden (§ 46 Abs. 2 StGB).</w:t>
      </w:r>
    </w:p>
    <w:p>
      <w:pPr>
        <w:jc w:val="left"/>
      </w:pPr>
      <w:r>
        <w:rPr>
          <w:b/>
        </w:rPr>
        <w:t>Empfehlung:</w:t>
      </w:r>
      <w:r>
        <w:t xml:space="preserve"> Im Rahmen der Verständigungsgespräche eine freiwillige Nachzahlung von mindestens 400.000 EUR (Steuerschulden + Zinsen VZ 2019–2020) anbieten; dies stärkt die Verhandlungsposition und kann zu einer merklichen Strafmilderung führen.</w:t>
      </w:r>
    </w:p>
    <w:p/>
    <w:p>
      <w:pPr>
        <w:pStyle w:val="Heading2"/>
      </w:pPr>
      <w:r>
        <w:rPr>
          <w:rFonts w:ascii="Times New Roman" w:hAnsi="Times New Roman"/>
        </w:rPr>
        <w:t>6. Zuständigkeit</w:t>
      </w:r>
    </w:p>
    <w:p>
      <w:pPr>
        <w:jc w:val="left"/>
      </w:pPr>
      <w:r>
        <w:t>Das LG Frankfurt am Main ist gemäß § 74c Abs. 1 Nr. 1 GVG als Wirtschaftsstrafkammer für Straftaten nach § 370 AO zuständig, wenn die besondere wirtschaftliche Sachlage — wie hier — eine besondere Kenntnis des Wirtschaftslebens erfordert.</w:t>
      </w:r>
    </w:p>
    <w:p/>
    <w:p>
      <w:pPr>
        <w:jc w:val="left"/>
      </w:pPr>
      <w:r>
        <w:rPr>
          <w:i/>
        </w:rPr>
        <w:t>Dr. Friederike Marx — Marx Strafverteidigung Frankfurt — Az. 5/28 KLs 122/25</w:t>
      </w:r>
    </w:p>
    <w:p>
      <w:pPr>
        <w:jc w:val="left"/>
      </w:pPr>
      <w:r>
        <w:rPr>
          <w:i/>
        </w:rPr>
        <w:t>Vgl. XLSX-Detailberechnung: xlsx/14_steuerhinterziehung_berechnung.xlsx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