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Treuhandvertrag Liechtenstein — Anlage B14 — Aktenvermerk und Bewertung</w:t>
      </w:r>
    </w:p>
    <w:p>
      <w:pPr>
        <w:jc w:val="left"/>
      </w:pPr>
      <w:r>
        <w:rPr>
          <w:b/>
        </w:rPr>
        <w:t>Marx Strafverteidigung Frankfurt</w:t>
      </w:r>
    </w:p>
    <w:p>
      <w:pPr>
        <w:jc w:val="left"/>
      </w:pPr>
      <w:r>
        <w:rPr>
          <w:b/>
        </w:rPr>
        <w:t>Vertraulich — Anwaltsgeheimnis § 53 StPO</w:t>
      </w:r>
    </w:p>
    <w:p>
      <w:pPr>
        <w:jc w:val="left"/>
      </w:pPr>
      <w:r>
        <w:t>Datum: 15. April 2025</w:t>
      </w:r>
    </w:p>
    <w:p>
      <w:pPr>
        <w:jc w:val="left"/>
      </w:pPr>
      <w:r>
        <w:t>Az.: 5/28 KLs 122/25</w:t>
      </w:r>
    </w:p>
    <w:p/>
    <w:p>
      <w:pPr>
        <w:pStyle w:val="Heading2"/>
      </w:pPr>
      <w:r>
        <w:rPr>
          <w:rFonts w:ascii="Times New Roman" w:hAnsi="Times New Roman"/>
        </w:rPr>
        <w:t>1. Hintergrund</w:t>
      </w:r>
    </w:p>
    <w:p>
      <w:pPr>
        <w:jc w:val="left"/>
      </w:pPr>
      <w:r>
        <w:t xml:space="preserve">Im Rahmen der Akteneinsicht hat die Verteidigung Kenntnis erlangt, dass die Staatsanwaltschaft den sog. </w:t>
      </w:r>
      <w:r>
        <w:rPr>
          <w:b/>
        </w:rPr>
        <w:t>Treuhandvertrag Anlage B14</w:t>
      </w:r>
      <w:r>
        <w:t xml:space="preserve"> für nachträglich erstellt hält. Dieser Vertrag ist für den Untreuevorwurf (§ 266 StGB) zentral: Er soll belegen, dass die Überweisungen an den ██████-Trust in Vaduz/Liechtenstein im Zeitraum Oktober 2020 bis März 2022 rechtlich legitimiert waren.</w:t>
      </w:r>
    </w:p>
    <w:p/>
    <w:p>
      <w:pPr>
        <w:pStyle w:val="Heading2"/>
      </w:pPr>
      <w:r>
        <w:rPr>
          <w:rFonts w:ascii="Times New Roman" w:hAnsi="Times New Roman"/>
        </w:rPr>
        <w:t>2. Inhalt des Treuhandvertrags (Anlage B14)</w:t>
      </w:r>
    </w:p>
    <w:p>
      <w:pPr>
        <w:jc w:val="left"/>
      </w:pPr>
      <w:r>
        <w:t>Vertragsparteien:</w:t>
      </w:r>
    </w:p>
    <w:p>
      <w:pPr>
        <w:pStyle w:val="ListBullet"/>
      </w:pPr>
      <w:r>
        <w:rPr>
          <w:b/>
        </w:rPr>
        <w:t>Treugeber:</w:t>
      </w:r>
      <w:r>
        <w:t xml:space="preserve"> Bankert Industrieautomation GmbH, vertreten durch den Geschäftsführer Daniel Albert Bankert</w:t>
      </w:r>
    </w:p>
    <w:p>
      <w:pPr>
        <w:pStyle w:val="ListBullet"/>
      </w:pPr>
      <w:r>
        <w:rPr>
          <w:b/>
        </w:rPr>
        <w:t>Treuhänder:</w:t>
      </w:r>
      <w:r>
        <w:t xml:space="preserve"> ██████ Treuhand und Verwaltungs AG, Vaduz, Liechtenstein (Reg.-Nr. FL-██████)</w:t>
      </w:r>
    </w:p>
    <w:p>
      <w:pPr>
        <w:pStyle w:val="ListBullet"/>
      </w:pPr>
      <w:r>
        <w:rPr>
          <w:b/>
        </w:rPr>
        <w:t>Begünstigte:</w:t>
      </w:r>
      <w:r>
        <w:t xml:space="preserve"> Daniel Albert Bankert und Hartmut Geweke, je hälftig</w:t>
      </w:r>
    </w:p>
    <w:p>
      <w:pPr>
        <w:jc w:val="left"/>
      </w:pPr>
      <w:r>
        <w:rPr>
          <w:b/>
        </w:rPr>
        <w:t>Vertragsgegenstand:</w:t>
      </w:r>
      <w:r>
        <w:t xml:space="preserve"> Übertragung von Liquiditätsreserven der BIA GmbH in Treuhänderschaft zur Verwaltung und Anlage; Rückübertragung auf Anforderung; Vergütung der Treuhänderin 1,5 % p.a. des verwalteten Kapitals.</w:t>
      </w:r>
    </w:p>
    <w:p>
      <w:pPr>
        <w:jc w:val="left"/>
      </w:pPr>
      <w:r>
        <w:rPr>
          <w:b/>
        </w:rPr>
        <w:t>Datum des Vertrags:</w:t>
      </w:r>
      <w:r>
        <w:t xml:space="preserve"> 15. September 2020 (handschriftlich datiert)</w:t>
      </w:r>
    </w:p>
    <w:p>
      <w:pPr>
        <w:jc w:val="left"/>
      </w:pPr>
      <w:r>
        <w:rPr>
          <w:b/>
        </w:rPr>
        <w:t>Unterzeichner auf Seiten BIA GmbH:</w:t>
      </w:r>
      <w:r>
        <w:t xml:space="preserve"> Daniel Albert Bankert</w:t>
      </w:r>
    </w:p>
    <w:p>
      <w:pPr>
        <w:jc w:val="left"/>
      </w:pPr>
      <w:r>
        <w:rPr>
          <w:b/>
        </w:rPr>
        <w:t>Unterzeichner auf Seiten Treuhänderin:</w:t>
      </w:r>
      <w:r>
        <w:t xml:space="preserve"> ██████ (handschriftlich unleserlich)</w:t>
      </w:r>
    </w:p>
    <w:p/>
    <w:p>
      <w:pPr>
        <w:pStyle w:val="Heading2"/>
      </w:pPr>
      <w:r>
        <w:rPr>
          <w:rFonts w:ascii="Times New Roman" w:hAnsi="Times New Roman"/>
        </w:rPr>
        <w:t>3. Zweifel der Staatsanwaltschaft / Gutachten Tremblay</w:t>
      </w:r>
    </w:p>
    <w:p>
      <w:pPr>
        <w:jc w:val="left"/>
      </w:pPr>
      <w:r>
        <w:t>Das Sachverständigenbüro Tremblay &amp; Partner hat in seinem Schriftvergleichsgutachten (Bd. XII, Bl. 2490–2512) folgende Einschätzung abgegeben:</w:t>
      </w:r>
    </w:p>
    <w:p>
      <w:pPr>
        <w:ind w:left="567"/>
      </w:pPr>
      <w:r>
        <w:rPr>
          <w:i/>
        </w:rPr>
        <w:t>„Die Untersuchung des Papiersubstrats und der Druckertinte des Dokuments Anlage B14 lässt darauf schließen, dass das Dokument im Zeitraum zwischen Sommer 2022 und Frühjahr 2023 hergestellt wurde, nicht im Jahr 2020 wie im Text angegeben. Die chemische Zusammensetzung der verwendeten Druckertinte stimmt nicht mit der handelsüblichen Tinte überein, die für das angegebene Herstellungsdatum zu erwarten wäre."</w:t>
      </w:r>
    </w:p>
    <w:p/>
    <w:p>
      <w:pPr>
        <w:pStyle w:val="Heading2"/>
      </w:pPr>
      <w:r>
        <w:rPr>
          <w:rFonts w:ascii="Times New Roman" w:hAnsi="Times New Roman"/>
        </w:rPr>
        <w:t>4. Gegendarstellung des Mandanten</w:t>
      </w:r>
    </w:p>
    <w:p>
      <w:pPr>
        <w:jc w:val="left"/>
      </w:pPr>
      <w:r>
        <w:t>Bankert bestreitet die Schlussfolgerungen des Gutachtens. Er gibt an:</w:t>
      </w:r>
    </w:p>
    <w:p>
      <w:pPr>
        <w:pStyle w:val="ListNumber"/>
      </w:pPr>
      <w:r>
        <w:t>Der Vertrag wurde tatsächlich am 15.09.2020 in Vaduz unterzeichnet; er erinnere sich an die Reise nach Vaduz.</w:t>
      </w:r>
    </w:p>
    <w:p>
      <w:pPr>
        <w:pStyle w:val="ListNumber"/>
      </w:pPr>
      <w:r>
        <w:t>Ein Ausdruck der damals unterzeichneten Version könnte auf einem neueren Drucker vorgenommen worden sein, falls das Original nicht mehr auffindbar war und eine Kopie erstellt wurde.</w:t>
      </w:r>
    </w:p>
    <w:p>
      <w:pPr>
        <w:pStyle w:val="ListNumber"/>
      </w:pPr>
      <w:r>
        <w:t>Hartmut Geweke sei bei der Vertragsunterzeichnung in Vaduz dabei gewesen.</w:t>
      </w:r>
    </w:p>
    <w:p>
      <w:pPr>
        <w:jc w:val="left"/>
      </w:pPr>
      <w:r>
        <w:rPr>
          <w:b/>
        </w:rPr>
        <w:t>Verifikation:</w:t>
      </w:r>
      <w:r>
        <w:t xml:space="preserve"> Bankert gibt an, Flugreisedaten (Frankfurt–Zürich–Vaduz, September 2020) vorhanden zu sein; er hat darum gebeten, Kontobewegungen seiner Kreditkarte für diesen Zeitraum zu überprüfen.</w:t>
      </w:r>
    </w:p>
    <w:p/>
    <w:p>
      <w:pPr>
        <w:pStyle w:val="Heading2"/>
      </w:pPr>
      <w:r>
        <w:rPr>
          <w:rFonts w:ascii="Times New Roman" w:hAnsi="Times New Roman"/>
        </w:rPr>
        <w:t>5. Rechtliche Bewertung</w:t>
      </w:r>
    </w:p>
    <w:p>
      <w:pPr>
        <w:pStyle w:val="Heading3"/>
      </w:pPr>
      <w:r>
        <w:rPr>
          <w:rFonts w:ascii="Times New Roman" w:hAnsi="Times New Roman"/>
        </w:rPr>
        <w:t>5.1 Beweislage</w:t>
      </w:r>
    </w:p>
    <w:p>
      <w:pPr>
        <w:jc w:val="left"/>
      </w:pPr>
      <w:r>
        <w:t>Wenn das Schriftgutachten Tremblay zutrifft und der Vertrag tatsächlich nachträglich erstellt wurde, begründet dies den Verdacht der Urkundenfälschung (§ 267 StGB) — ein Vorwurf, der bislang nicht angeklagt ist. Die Staatsanwaltschaft hat offenbar strategisch entschieden, diesen Punkt nicht separat anzuklagen, sondern ihn im Rahmen des Untreue-Vorwurfs zu berücksichtigen.</w:t>
      </w:r>
    </w:p>
    <w:p>
      <w:pPr>
        <w:pStyle w:val="Heading3"/>
      </w:pPr>
      <w:r>
        <w:rPr>
          <w:rFonts w:ascii="Times New Roman" w:hAnsi="Times New Roman"/>
        </w:rPr>
        <w:t>5.2 Entlastungsbeweis</w:t>
      </w:r>
    </w:p>
    <w:p>
      <w:pPr>
        <w:jc w:val="left"/>
      </w:pPr>
      <w:r>
        <w:t>Die Verteidigung beabsichtigt, durch folgende Maßnahmen die Echtheit des Vertrags zu belegen oder zumindest ernsthafte Zweifel am Gutachten Tremblay zu wecken:</w:t>
      </w:r>
    </w:p>
    <w:p>
      <w:pPr>
        <w:pStyle w:val="ListNumber"/>
      </w:pPr>
      <w:r>
        <w:rPr>
          <w:b/>
        </w:rPr>
        <w:t>Gegengutachten Schriftvergleich:</w:t>
      </w:r>
      <w:r>
        <w:t xml:space="preserve"> Beauftragung eines unabhängigen, öffentlich bestellten und vereidigten Sachverständigen für Urkundenuntersuchung (Vorschlag: Prof. Dr. Kathrin Schöber, Bundeskriminalamt a.D., jetzt privat tätig in Wiesbaden).</w:t>
      </w:r>
    </w:p>
    <w:p>
      <w:pPr>
        <w:pStyle w:val="ListNumber"/>
      </w:pPr>
      <w:r>
        <w:rPr>
          <w:b/>
        </w:rPr>
        <w:t>Kreditkartenabrechnung Bankert:</w:t>
      </w:r>
      <w:r>
        <w:t xml:space="preserve"> Beantragung der Kreditkartenabrechnung (September 2020) über Akteneinsicht; Nachweis Reise nach Vaduz.</w:t>
      </w:r>
    </w:p>
    <w:p>
      <w:pPr>
        <w:pStyle w:val="ListNumber"/>
      </w:pPr>
      <w:r>
        <w:rPr>
          <w:b/>
        </w:rPr>
        <w:t>Zeugenbefragung Geweke:</w:t>
      </w:r>
      <w:r>
        <w:t xml:space="preserve"> Antrag auf Vernehmung Hartmut Geweke zu seiner Anwesenheit in Vaduz. (Geweke hat bislang weitgehend geschwiegen; sein Strafvorwurf wurde gemäß § 170 Abs. 2 StPO eingestellt, er ist daher als Zeuge verfügbar.)</w:t>
      </w:r>
    </w:p>
    <w:p>
      <w:pPr>
        <w:pStyle w:val="ListNumber"/>
      </w:pPr>
      <w:r>
        <w:rPr>
          <w:b/>
        </w:rPr>
        <w:t>Rechtshilfe Liechtenstein:</w:t>
      </w:r>
      <w:r>
        <w:t xml:space="preserve"> Anfrage an die liechtensteinischen Behörden, ob der Treuhandvertrag dort registriert oder notariell beglaubigt wurde.</w:t>
      </w:r>
    </w:p>
    <w:p>
      <w:pPr>
        <w:pStyle w:val="Heading3"/>
      </w:pPr>
      <w:r>
        <w:rPr>
          <w:rFonts w:ascii="Times New Roman" w:hAnsi="Times New Roman"/>
        </w:rPr>
        <w:t>5.3 Gesellschaftsrechtliche Frage</w:t>
      </w:r>
    </w:p>
    <w:p>
      <w:pPr>
        <w:jc w:val="left"/>
      </w:pPr>
      <w:r>
        <w:t>Selbst wenn der Treuhandvertrag echt ist: War die Übertragung von Gesellschaftsmitteln in einen Liechtenstein-Trust ohne Gesellschafterbeschluss gemäß § 37 GmbHG mit der Geschäftsführerpflicht vereinbar? Dies hängt davon ab, ob es sich um eine gewöhnliche oder eine außergewöhnliche Maßnahme handelte. Bei einem Betrag von 870.000 EUR (ca. 20 % des Jahresumsatzes der BIA GmbH im Jahr 2020) spricht Vieles für eine außergewöhnliche Maßnahme, die eines Gesellschafterbeschlusses bedurft hätte.</w:t>
      </w:r>
    </w:p>
    <w:p>
      <w:pPr>
        <w:jc w:val="left"/>
      </w:pPr>
      <w:r>
        <w:rPr>
          <w:b/>
        </w:rPr>
        <w:t>Gegenargument:</w:t>
      </w:r>
      <w:r>
        <w:t xml:space="preserve"> Wenn Geweke (49 % Gesellschafter) mündlich zugestimmt hat, könnte ein wirksamer konkludenter Gesellschafterbeschluss vorliegen — nach der Rechtsprechung des BGH (BGH, Urteil vom 22.06.1992 — II ZR 178/90: BGH zur Wirksamkeit mündlicher GmbH-Gesellschafterbeschlüsse) ist ein schriftliches Protokoll für einfache Beschlüsse nicht zwingend erforderlich.</w:t>
      </w:r>
    </w:p>
    <w:p/>
    <w:p>
      <w:pPr>
        <w:pStyle w:val="Heading2"/>
      </w:pPr>
      <w:r>
        <w:rPr>
          <w:rFonts w:ascii="Times New Roman" w:hAnsi="Times New Roman"/>
        </w:rPr>
        <w:t>6. Nächste Schritte</w:t>
      </w:r>
    </w:p>
    <w:p>
      <w:pPr>
        <w:pStyle w:val="ListBullet"/>
      </w:pPr>
      <w:r>
        <w:t>[ ] Gegensachverständigen Schriftvergleich beauftragen (Frist: 25.05.2025)</w:t>
      </w:r>
    </w:p>
    <w:p>
      <w:pPr>
        <w:pStyle w:val="ListBullet"/>
      </w:pPr>
      <w:r>
        <w:t>[ ] Antrag auf Kreditkartenauszüge September 2020 per Akteneinsicht</w:t>
      </w:r>
    </w:p>
    <w:p>
      <w:pPr>
        <w:pStyle w:val="ListBullet"/>
      </w:pPr>
      <w:r>
        <w:t>[ ] Beweisantrag Geweke-Vernehmung vorbereiten</w:t>
      </w:r>
    </w:p>
    <w:p>
      <w:pPr>
        <w:pStyle w:val="ListBullet"/>
      </w:pPr>
      <w:r>
        <w:t>[ ] Rechtshilfe Liechtenstein über Gericht beantragen</w:t>
      </w:r>
    </w:p>
    <w:p/>
    <w:p>
      <w:pPr>
        <w:jc w:val="left"/>
      </w:pPr>
      <w:r>
        <w:rPr>
          <w:i/>
        </w:rPr>
        <w:t>Dr. Friederike Marx — Marx Strafverteidigung Frankfurt — Az. 5/28 KLs 122/25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