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Mandantenbrief — Dr. Marx an Daniel Albert Bankert (JVA Frankfurt I)</w:t>
      </w:r>
    </w:p>
    <w:p>
      <w:pPr>
        <w:jc w:val="left"/>
      </w:pPr>
      <w:r>
        <w:rPr>
          <w:b/>
        </w:rPr>
        <w:t>Marx Strafverteidigung Frankfurt</w:t>
      </w:r>
    </w:p>
    <w:p>
      <w:pPr>
        <w:jc w:val="left"/>
      </w:pPr>
      <w:r>
        <w:t>Dr. Friederike Marx, Fachanwältin für Strafrecht</w:t>
      </w:r>
    </w:p>
    <w:p>
      <w:pPr>
        <w:jc w:val="left"/>
      </w:pPr>
      <w:r>
        <w:t>Bockenheimer Landstraße 84</w:t>
      </w:r>
    </w:p>
    <w:p>
      <w:pPr>
        <w:jc w:val="left"/>
      </w:pPr>
      <w:r>
        <w:t>60323 Frankfurt am Main</w:t>
      </w:r>
    </w:p>
    <w:p>
      <w:pPr>
        <w:jc w:val="left"/>
      </w:pPr>
      <w:r>
        <w:t>An:</w:t>
      </w:r>
    </w:p>
    <w:p>
      <w:pPr>
        <w:jc w:val="left"/>
      </w:pPr>
      <w:r>
        <w:t>Herrn Daniel Albert Bankert</w:t>
      </w:r>
    </w:p>
    <w:p>
      <w:pPr>
        <w:jc w:val="left"/>
      </w:pPr>
      <w:r>
        <w:t>— persönlich/vertraulich —</w:t>
      </w:r>
    </w:p>
    <w:p>
      <w:pPr>
        <w:jc w:val="left"/>
      </w:pPr>
      <w:r>
        <w:t>JVA Frankfurt I</w:t>
      </w:r>
    </w:p>
    <w:p>
      <w:pPr>
        <w:jc w:val="left"/>
      </w:pPr>
      <w:r>
        <w:t>Haftraum C 3.12</w:t>
      </w:r>
    </w:p>
    <w:p>
      <w:pPr>
        <w:jc w:val="left"/>
      </w:pPr>
      <w:r>
        <w:t>Hammelsgasse 5</w:t>
      </w:r>
    </w:p>
    <w:p>
      <w:pPr>
        <w:jc w:val="left"/>
      </w:pPr>
      <w:r>
        <w:t>60311 Frankfurt am Main</w:t>
      </w:r>
    </w:p>
    <w:p>
      <w:pPr>
        <w:jc w:val="left"/>
      </w:pPr>
      <w:r>
        <w:t xml:space="preserve">Frankfurt am Main, </w:t>
      </w:r>
      <w:r>
        <w:rPr>
          <w:b/>
        </w:rPr>
        <w:t>12. Mai 2025</w:t>
      </w:r>
    </w:p>
    <w:p>
      <w:pPr>
        <w:jc w:val="left"/>
      </w:pPr>
      <w:r>
        <w:rPr>
          <w:b/>
        </w:rPr>
        <w:t>Verteidigungskorrespondenz — § 148 StPO — geschützt</w:t>
      </w:r>
    </w:p>
    <w:p/>
    <w:p>
      <w:pPr>
        <w:jc w:val="left"/>
      </w:pPr>
      <w:r>
        <w:t>Sehr geehrter Herr Bankert,</w:t>
      </w:r>
    </w:p>
    <w:p>
      <w:pPr>
        <w:jc w:val="left"/>
      </w:pPr>
      <w:r>
        <w:t>ich berichte Ihnen über den Stand Ihres Verfahrens und die nächsten Schritte. Bitte bewahren Sie diesen Brief an einem sicheren Ort auf und vernichten Sie ihn, wenn Sie ihn nicht mehr benötigen. Zeigen Sie ihn keiner anderen Person.</w:t>
      </w:r>
    </w:p>
    <w:p/>
    <w:p>
      <w:pPr>
        <w:pStyle w:val="Heading2"/>
      </w:pPr>
      <w:r>
        <w:rPr>
          <w:rFonts w:ascii="Times New Roman" w:hAnsi="Times New Roman"/>
        </w:rPr>
        <w:t>I. Stand der Haftbeschwerde</w:t>
      </w:r>
    </w:p>
    <w:p>
      <w:pPr>
        <w:jc w:val="left"/>
      </w:pPr>
      <w:r>
        <w:t xml:space="preserve">Ich habe am 09. Mai 2025 Haftbeschwerde beim Landgericht Frankfurt am Main eingelegt (Aktenstück 12 dieser Akte). Die Kammer hat mir mitgeteilt, dass eine Entscheidung bis zum </w:t>
      </w:r>
      <w:r>
        <w:rPr>
          <w:b/>
        </w:rPr>
        <w:t>19. Mai 2025</w:t>
      </w:r>
      <w:r>
        <w:t xml:space="preserve"> zu erwarten ist. Ich schätze die Erfolgsaussichten auf Aufhebung des Haftbefehls als gering ein — die Kammer neigt dazu, den Haftgrund Fluchtgefahr zu bestätigen. Realistischer ist eine Außervollzugsetzung gemäß § 116 StPO mit Auflagen (Passabgabe, Meldepflicht, Sicherheitsleistung). Hierüber werde ich Sie unverzüglich informieren.</w:t>
      </w:r>
    </w:p>
    <w:p>
      <w:pPr>
        <w:jc w:val="left"/>
      </w:pPr>
      <w:r>
        <w:t>Um die Sicherheitsleistung für eine mögliche § 116-Anordnung vorzubereiten: Teilen Sie mir bitte mit, ob Sie oder Ihre Ehefrau über liquide Mittel verfügen, die innerhalb von 3 Tagen als Bankbürgschaft zur Verfügung gestellt werden könnten (wir haben 500.000 EUR als Angebot angeführt).</w:t>
      </w:r>
    </w:p>
    <w:p/>
    <w:p>
      <w:pPr>
        <w:pStyle w:val="Heading2"/>
      </w:pPr>
      <w:r>
        <w:rPr>
          <w:rFonts w:ascii="Times New Roman" w:hAnsi="Times New Roman"/>
        </w:rPr>
        <w:t>II. Verständigung § 257c StPO</w:t>
      </w:r>
    </w:p>
    <w:p>
      <w:pPr>
        <w:jc w:val="left"/>
      </w:pPr>
      <w:r>
        <w:t>Sie kennen das Angebot der Staatsanwaltschaft: Geständnis zu Betrug (14 Fälle) und Steuerhinterziehung (4 VZ) gegen Einstellung Untreue und Bestechung, Gesamtstrafe 3 Jahre 9 Monate.</w:t>
      </w:r>
    </w:p>
    <w:p>
      <w:pPr>
        <w:jc w:val="left"/>
      </w:pPr>
      <w:r>
        <w:t>Meine Einschätzung nach reiflicher Überlegung:</w:t>
      </w:r>
    </w:p>
    <w:p>
      <w:pPr>
        <w:jc w:val="left"/>
      </w:pPr>
      <w:r>
        <w:rPr>
          <w:b/>
        </w:rPr>
        <w:t>Pro Verständigung:</w:t>
      </w:r>
    </w:p>
    <w:p>
      <w:pPr>
        <w:pStyle w:val="ListBullet"/>
      </w:pPr>
      <w:r>
        <w:t>Das Hauptverhandlungsrisiko ist erheblich. Sollten alle Vorwürfe bestätigt werden, ist mit 6–8 Jahren Freiheitsstrafe zu rechnen.</w:t>
      </w:r>
    </w:p>
    <w:p>
      <w:pPr>
        <w:pStyle w:val="ListBullet"/>
      </w:pPr>
      <w:r>
        <w:t>Die U-Haft wird angerechnet; das effektive Strafende läge bei guter Führung ca. Herbst 2027.</w:t>
      </w:r>
    </w:p>
    <w:p>
      <w:pPr>
        <w:pStyle w:val="ListBullet"/>
      </w:pPr>
      <w:r>
        <w:t>Der Unternehmensfortbestand der BIA GmbH könnte bei einer Bewährungsstrafe (nicht möglich bei 3 J. 9 M.) gesichert werden; bei 3 J. 9 M. aber nach 2/3 Verbüßung (ca. Dez. 2027) mit geplanter Rückkehr.</w:t>
      </w:r>
    </w:p>
    <w:p>
      <w:pPr>
        <w:jc w:val="left"/>
      </w:pPr>
      <w:r>
        <w:rPr>
          <w:b/>
        </w:rPr>
        <w:t>Contra Verständigung:</w:t>
      </w:r>
    </w:p>
    <w:p>
      <w:pPr>
        <w:pStyle w:val="ListBullet"/>
      </w:pPr>
      <w:r>
        <w:t>Die Zeugenaussagen Pollmann und Kohlrausch sind erheblich angreifbar (vgl. Aktenstücke 06, 07).</w:t>
      </w:r>
    </w:p>
    <w:p>
      <w:pPr>
        <w:pStyle w:val="ListBullet"/>
      </w:pPr>
      <w:r>
        <w:t>Das Gegengutachten zur Maschinenbewertung könnte die Schadenshöhe erheblich reduzieren.</w:t>
      </w:r>
    </w:p>
    <w:p>
      <w:pPr>
        <w:pStyle w:val="ListBullet"/>
      </w:pPr>
      <w:r>
        <w:t>Bei einem Geständnis zu 14 Betrugsfällen ist eine deutlich niedrigere Straferwartung bei Freispruch in Teilbereichen nicht realisierbar.</w:t>
      </w:r>
    </w:p>
    <w:p>
      <w:pPr>
        <w:jc w:val="left"/>
      </w:pPr>
      <w:r>
        <w:rPr>
          <w:b/>
        </w:rPr>
        <w:t>Mein Gegenvorschlag (den ich der Staatsanwaltschaft vortragen würde, wenn Sie das wünschen):</w:t>
      </w:r>
    </w:p>
    <w:p>
      <w:pPr>
        <w:pStyle w:val="ListBullet"/>
      </w:pPr>
      <w:r>
        <w:t>Geständnis zu 10 der 14 Betrugsfälle (Fälle mit stärkerer Beweislage) und zu 2 der 4 Steuerhinterziehungsfälle (VZ 2020 und 2021)</w:t>
      </w:r>
    </w:p>
    <w:p>
      <w:pPr>
        <w:pStyle w:val="ListBullet"/>
      </w:pPr>
      <w:r>
        <w:t>Einstellung der verbleibenden 4 Betrugsfälle + Untreue + Bestechung</w:t>
      </w:r>
    </w:p>
    <w:p>
      <w:pPr>
        <w:pStyle w:val="ListBullet"/>
      </w:pPr>
      <w:r>
        <w:t>Strafziel: 3 Jahre (Bewährungsgrenze nicht überschritten wäre besser, ist aber unrealistisch — 3 Jahre wäre unter § 57 mit U-Haftanrechnung faktisch ca. 1,5 Jahre Restvollzug)</w:t>
      </w:r>
    </w:p>
    <w:p>
      <w:pPr>
        <w:jc w:val="left"/>
      </w:pPr>
      <w:r>
        <w:rPr>
          <w:b/>
        </w:rPr>
        <w:t>Ihre Entscheidung ist bis zum 21. Mai 2025 erforderlich</w:t>
      </w:r>
      <w:r>
        <w:t>, damit ich bis zur Frist (23. Mai) antworten kann. Bitte schreiben Sie mir schriftlich oder geben Sie mir Nachricht über den Sozialarbeiter (Herr Lehmann, JVA), damit wir einen Besuchstermin vereinbaren.</w:t>
      </w:r>
    </w:p>
    <w:p/>
    <w:p>
      <w:pPr>
        <w:pStyle w:val="Heading2"/>
      </w:pPr>
      <w:r>
        <w:rPr>
          <w:rFonts w:ascii="Times New Roman" w:hAnsi="Times New Roman"/>
        </w:rPr>
        <w:t>III. Unternehmensangelegenheiten</w:t>
      </w:r>
    </w:p>
    <w:p>
      <w:pPr>
        <w:jc w:val="left"/>
      </w:pPr>
      <w:r>
        <w:t>Ich habe Kontakt zu Ihrem Prokuristen Thomas Heilig aufgenommen (gemäß Ihrer Vollmacht). Herr Heilig schildert die Lage der BIA GmbH als kritisch: Der Kreditrahmen (1,2 Mio. EUR, Commerzbank) ist gekündigt; zwei laufende Aufträge (Gesamtwert ca. 380.000 EUR) stehen wegen Ihrer Abwesenheit auf der Kippe. Herr Heilig hat eine Vollversammlung der Belegschaft für den 16. Mai 2025 anberaumt.</w:t>
      </w:r>
    </w:p>
    <w:p>
      <w:pPr>
        <w:jc w:val="left"/>
      </w:pPr>
      <w:r>
        <w:t>Ich empfehle, Herrn Heilig per schriftlicher Anweisung (die ich Ihnen gern vorbereite) zu ermächtigen, die Kreditgespräche mit der Commerzbank zu führen und ggf. eine Restrukturierungsberatung (z.B. Kanzlei für Sanierungs- und Insolvenzrecht) einzuschalten. Wenn Sie möchten, übernehme ich die Koordination.</w:t>
      </w:r>
    </w:p>
    <w:p/>
    <w:p>
      <w:pPr>
        <w:pStyle w:val="Heading2"/>
      </w:pPr>
      <w:r>
        <w:rPr>
          <w:rFonts w:ascii="Times New Roman" w:hAnsi="Times New Roman"/>
        </w:rPr>
        <w:t>IV. Gesellschafterkonflikt Geweke</w:t>
      </w:r>
    </w:p>
    <w:p>
      <w:pPr>
        <w:jc w:val="left"/>
      </w:pPr>
      <w:r>
        <w:t>Hartmut Geweke hat am 05. Mai 2025 einen Gesellschafterstreit angekündigt (Abberufung als Geschäftsführer, Klage auf Rückzahlung der Liechtenstein-Überweisungen). Dieser Konflikt ist für das Strafverfahren zwar getrennt zu betrachten, kann aber strategisch genutzt werden: Gewekes Wissen über die Liechtenstein-Überweisungen und seine mündliche Zustimmung sind für die Verteidigung im Strafverfahren wertvoll. Ich werde Geweke als Zeugen benennen.</w:t>
      </w:r>
    </w:p>
    <w:p/>
    <w:p>
      <w:pPr>
        <w:pStyle w:val="Heading2"/>
      </w:pPr>
      <w:r>
        <w:rPr>
          <w:rFonts w:ascii="Times New Roman" w:hAnsi="Times New Roman"/>
        </w:rPr>
        <w:t>V. Nächste Besuchstermine</w:t>
      </w:r>
    </w:p>
    <w:p>
      <w:pPr>
        <w:jc w:val="left"/>
      </w:pPr>
      <w:r>
        <w:t>Ich plane folgenden Besuch:</w:t>
      </w:r>
    </w:p>
    <w:p>
      <w:pPr>
        <w:pStyle w:val="ListBullet"/>
      </w:pPr>
      <w:r>
        <w:rPr>
          <w:b/>
        </w:rPr>
        <w:t>Montag, 19. Mai 2025, 10:00 Uhr</w:t>
      </w:r>
      <w:r>
        <w:t>, JVA Frankfurt I, Anwaltsbesuchsraum B-07 — um die Entscheidung zur Verständigung zu besprechen.</w:t>
      </w:r>
    </w:p>
    <w:p>
      <w:pPr>
        <w:jc w:val="left"/>
      </w:pPr>
      <w:r>
        <w:t>Bitte bestätigen Sie über den JVA-Sozialarbeiter.</w:t>
      </w:r>
    </w:p>
    <w:p>
      <w:pPr>
        <w:jc w:val="left"/>
      </w:pPr>
      <w:r>
        <w:t>Ich wünsche Ihnen soweit möglich Ruhe und Geduld. Wir tun alles, um Ihre Situation zu verbessern.</w:t>
      </w:r>
    </w:p>
    <w:p>
      <w:pPr>
        <w:jc w:val="left"/>
      </w:pPr>
      <w:r>
        <w:t>Mit freundlichen Grüßen</w:t>
      </w:r>
    </w:p>
    <w:p>
      <w:pPr>
        <w:jc w:val="left"/>
      </w:pPr>
      <w:r>
        <w:rPr>
          <w:b/>
        </w:rPr>
        <w:t>Dr. Friederike Marx</w:t>
      </w:r>
    </w:p>
    <w:p>
      <w:pPr>
        <w:jc w:val="left"/>
      </w:pPr>
      <w:r>
        <w:t>Fachanwältin für Strafrecht</w:t>
      </w:r>
    </w:p>
    <w:p>
      <w:pPr>
        <w:jc w:val="left"/>
      </w:pPr>
      <w:r>
        <w:t>Marx Strafverteidigung Frankfurt</w:t>
      </w:r>
    </w:p>
    <w:p/>
    <w:p>
      <w:pPr>
        <w:jc w:val="left"/>
      </w:pPr>
      <w:r>
        <w:rPr>
          <w:i/>
        </w:rPr>
        <w:t>Verteidigungskorrespondenz — § 148 StPO — geschützt</w:t>
      </w:r>
    </w:p>
    <w:p>
      <w:pPr>
        <w:jc w:val="left"/>
      </w:pPr>
      <w:r>
        <w:rPr>
          <w:i/>
        </w:rPr>
        <w:t>Az.: 5/28 KLs 122/25 — Az. StA: 5400 Js 14782/24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