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Einlassung des Angeklagten — Entwurf (Vertraulich)</w:t>
      </w:r>
    </w:p>
    <w:p>
      <w:pPr>
        <w:jc w:val="left"/>
      </w:pPr>
      <w:r>
        <w:rPr>
          <w:b/>
        </w:rPr>
        <w:t>Marx Strafverteidigung Frankfurt</w:t>
      </w:r>
    </w:p>
    <w:p>
      <w:pPr>
        <w:jc w:val="left"/>
      </w:pPr>
      <w:r>
        <w:rPr>
          <w:b/>
        </w:rPr>
        <w:t>ENTWURF — NOCH NICHT AUTORISIERT — Vertraulich § 53 StPO</w:t>
      </w:r>
    </w:p>
    <w:p>
      <w:pPr>
        <w:jc w:val="left"/>
      </w:pPr>
      <w:r>
        <w:t>Erstellt von: Dr. Friederike Marx</w:t>
      </w:r>
    </w:p>
    <w:p>
      <w:pPr>
        <w:jc w:val="left"/>
      </w:pPr>
      <w:r>
        <w:t>Datum: 15. Mai 2025</w:t>
      </w:r>
    </w:p>
    <w:p>
      <w:pPr>
        <w:jc w:val="left"/>
      </w:pPr>
      <w:r>
        <w:t>Az.: 5/28 KLs 122/25</w:t>
      </w:r>
    </w:p>
    <w:p/>
    <w:p>
      <w:pPr>
        <w:jc w:val="left"/>
      </w:pPr>
      <w:r>
        <w:rPr>
          <w:b/>
        </w:rPr>
        <w:t>Hinweis:</w:t>
      </w:r>
      <w:r>
        <w:t xml:space="preserve"> Dieser Entwurf der Einlassung ist ausschließlich für interne Verteidigungszwecke bestimmt und unterliegt dem Anwaltsgeheimnis. Er ist kein Geständnis und kein Eingeständnis. Die endgültige Entscheidung über Inhalt und Zeitpunkt einer Einlassung in der Hauptverhandlung trifft der Angeklagte persönlich nach Beratung mit seiner Verteidigerin.</w:t>
      </w:r>
    </w:p>
    <w:p/>
    <w:p>
      <w:pPr>
        <w:pStyle w:val="Heading2"/>
      </w:pPr>
      <w:r>
        <w:rPr>
          <w:rFonts w:ascii="Times New Roman" w:hAnsi="Times New Roman"/>
        </w:rPr>
        <w:t>Einlassung des Angeklagten Daniel Albert Bankert zur Hauptverhandlung</w:t>
      </w:r>
    </w:p>
    <w:p>
      <w:pPr>
        <w:jc w:val="left"/>
      </w:pPr>
      <w:r>
        <w:rPr>
          <w:b/>
        </w:rPr>
        <w:t>Angeklagter:</w:t>
      </w:r>
      <w:r>
        <w:t xml:space="preserve"> Daniel Albert Bankert</w:t>
      </w:r>
    </w:p>
    <w:p>
      <w:pPr>
        <w:jc w:val="left"/>
      </w:pPr>
      <w:r>
        <w:rPr>
          <w:b/>
        </w:rPr>
        <w:t>Verfahren:</w:t>
      </w:r>
      <w:r>
        <w:t xml:space="preserve"> LG Frankfurt am Main, 5/28 KLs 122/25</w:t>
      </w:r>
    </w:p>
    <w:p>
      <w:pPr>
        <w:jc w:val="left"/>
      </w:pPr>
      <w:r>
        <w:rPr>
          <w:b/>
        </w:rPr>
        <w:t>HV-Beginn:</w:t>
      </w:r>
      <w:r>
        <w:t xml:space="preserve"> 23. Juni 2025</w:t>
      </w:r>
    </w:p>
    <w:p/>
    <w:p>
      <w:pPr>
        <w:pStyle w:val="Heading3"/>
      </w:pPr>
      <w:r>
        <w:rPr>
          <w:rFonts w:ascii="Times New Roman" w:hAnsi="Times New Roman"/>
        </w:rPr>
        <w:t>I. Vorbemerkung</w:t>
      </w:r>
    </w:p>
    <w:p>
      <w:pPr>
        <w:jc w:val="left"/>
      </w:pPr>
      <w:r>
        <w:t>Ich bin Daniel Albert Bankert. Ich bin 46 Jahre alt und lebe seit meiner Geburt in Frankfurt am Main. Ich habe 2003 ein Ingenieurstudium an der TU Darmstadt abgeschlossen und 2009 die Bankert Industrieautomation GmbH gegründet. Das Unternehmen beschäftigt derzeit 23 Mitarbeiter; ich bin der alleinige Gesellschafter-Geschäftsführer.</w:t>
      </w:r>
    </w:p>
    <w:p>
      <w:pPr>
        <w:jc w:val="left"/>
      </w:pPr>
      <w:r>
        <w:t>Ich bestreite alle gegen mich erhobenen Vorwürfe. Ich bin kein Betrüger, kein Untreue-Täter und kein Steuerbetrüger. Ich werde im Folgenden zu den einzelnen Vorwürfen Stellung nehmen.</w:t>
      </w:r>
    </w:p>
    <w:p/>
    <w:p>
      <w:pPr>
        <w:pStyle w:val="Heading3"/>
      </w:pPr>
      <w:r>
        <w:rPr>
          <w:rFonts w:ascii="Times New Roman" w:hAnsi="Times New Roman"/>
        </w:rPr>
        <w:t>II. Zum Betrugsvorwurf (§ 263 Abs. 3 StGB)</w:t>
      </w:r>
    </w:p>
    <w:p>
      <w:pPr>
        <w:jc w:val="left"/>
      </w:pPr>
      <w:r>
        <w:t>Es ist richtig, dass mein Unternehmen im Zeitraum 2019 bis 2022 insgesamt 14 Verträge mit der ABC Großabnehmer SE über die Lieferung von Industrieanlagen und Automatisierungskomponenten abgeschlossen hat.</w:t>
      </w:r>
    </w:p>
    <w:p>
      <w:pPr>
        <w:jc w:val="left"/>
      </w:pPr>
      <w:r>
        <w:t xml:space="preserve">Es ist </w:t>
      </w:r>
      <w:r>
        <w:rPr>
          <w:b/>
        </w:rPr>
        <w:t>nicht</w:t>
      </w:r>
      <w:r>
        <w:t xml:space="preserve"> richtig, dass ich dabei falsche Angaben über die technische Qualität oder die Herkunft der Anlagen gemacht habe, um die ABC SE zu täuschen.</w:t>
      </w:r>
    </w:p>
    <w:p>
      <w:pPr>
        <w:pStyle w:val="Heading3"/>
      </w:pPr>
      <w:r>
        <w:rPr>
          <w:rFonts w:ascii="Times New Roman" w:hAnsi="Times New Roman"/>
        </w:rPr>
        <w:t>Was tatsächlich geschehen ist:</w:t>
      </w:r>
    </w:p>
    <w:p>
      <w:pPr>
        <w:jc w:val="left"/>
      </w:pPr>
      <w:r>
        <w:t>In meiner Branche ist es seit Jahren üblich, sogenannte „Remanufactured"-Anlagen — also überarbeitete, generalüberholte Gebrauchtgeräte — an Kunden zu liefern. Diese Anlagen werden von spezialisierten Aufarbeitungsbetrieben in Deutschland und Osteuropa nach DIN EN ISO 9001 zertifiziert und entsprechen in ihrer technischen Leistungsfähigkeit oft Neugeräten. Der Preis liegt zwischen 60 und 80 Prozent des Neupreises.</w:t>
      </w:r>
    </w:p>
    <w:p>
      <w:pPr>
        <w:jc w:val="left"/>
      </w:pPr>
      <w:r>
        <w:t xml:space="preserve">Ich habe mit Sven Pollmann, dem damaligen Leiter Einkauf der ABC SE, </w:t>
      </w:r>
      <w:r>
        <w:rPr>
          <w:b/>
        </w:rPr>
        <w:t>im Januar 2020 in Frankfurt</w:t>
      </w:r>
      <w:r>
        <w:t xml:space="preserve"> ein persönliches Gespräch geführt, in dem ich ihm erläutert habe, dass ich für bestimmte Komponenten auf Remanufactured-Anlagen zurückgreife. Pollmann hat dies — wie er selbst in seiner zweiten Vernehmung eingeräumt hat — zur Kenntnis genommen und nicht beanstandet.</w:t>
      </w:r>
    </w:p>
    <w:p>
      <w:pPr>
        <w:jc w:val="left"/>
      </w:pPr>
      <w:r>
        <w:t>Die in den Lieferdokumenten verwendete Bezeichnung „Neuware" war intern bei meiner GmbH eine Kurzbezeichnung für generalüberholte Anlagen, die dem technischen Neuwert entsprechen. Ich gebe zu, dass diese Bezeichnung missverständlich war. Aber eine vorsätzliche Täuschung war damit nicht verbunden.</w:t>
      </w:r>
    </w:p>
    <w:p>
      <w:pPr>
        <w:jc w:val="left"/>
      </w:pPr>
      <w:r>
        <w:rPr>
          <w:b/>
        </w:rPr>
        <w:t>Zur Aussage von Yvonne Kohlrausch:</w:t>
      </w:r>
      <w:r>
        <w:t xml:space="preserve"> Frau Kohlrausch war bei mir beschäftigt, bis ich sie im Oktober 2023 freigestellt habe. Ich habe sie nicht wegen „Unregelmäßigkeiten" entlassen, aber es gab erhebliche Differenzen über ihre Aufgaben und ihre Vergütungserwartungen. Sie hat mir vor der Freistellung schriftlich mitgeteilt, dass sie Unterlagen „gesichert" habe. Ich halte ihre Aussagen für von persönlichen Motiven geleitet und in wesentlichen Teilen unzutreffend.</w:t>
      </w:r>
    </w:p>
    <w:p/>
    <w:p>
      <w:pPr>
        <w:pStyle w:val="Heading3"/>
      </w:pPr>
      <w:r>
        <w:rPr>
          <w:rFonts w:ascii="Times New Roman" w:hAnsi="Times New Roman"/>
        </w:rPr>
        <w:t>III. Zum Untreuevorwurf (§ 266 StGB)</w:t>
      </w:r>
    </w:p>
    <w:p>
      <w:pPr>
        <w:jc w:val="left"/>
      </w:pPr>
      <w:r>
        <w:t>Es ist richtig, dass ich zwischen Oktober 2020 und März 2022 insgesamt 870.000 EUR von Konten der BIA GmbH an die ██████ Treuhand in Vaduz überwiesen habe.</w:t>
      </w:r>
    </w:p>
    <w:p>
      <w:pPr>
        <w:jc w:val="left"/>
      </w:pPr>
      <w:r>
        <w:t>Diese Überweisungen erfolgten aufgrund eines Treuhandvertrags, den ich gemeinsam mit Hartmut Geweke im September 2020 in Vaduz abgeschlossen habe. Der Vertrag — Anlage B14 — wurde vor Ort unterschrieben. Hartmut Geweke war dabei anwesend. Er hat dem Vertrag ausdrücklich zugestimmt.</w:t>
      </w:r>
    </w:p>
    <w:p>
      <w:pPr>
        <w:jc w:val="left"/>
      </w:pPr>
      <w:r>
        <w:t>Dass der Sachverständige Tremblay an der Echtheit des Vertrags zweifelt, vermag mich nicht zu überzeugen. Ich habe meiner Verteidigerin mitgeteilt, wo Belege für meine Reise nach Vaduz im September 2020 zu finden sind. Ich bin zuversichtlich, dass ein unabhängiges Gutachten die Echtheit des Vertrags bestätigen wird.</w:t>
      </w:r>
    </w:p>
    <w:p>
      <w:pPr>
        <w:jc w:val="left"/>
      </w:pPr>
      <w:r>
        <w:t>Die Mittel im Trust sind nicht verschwunden. Sie stehen — nach Abzug der Treuhandgebühren — nach wie vor zur Verfügung und können auf Anordnung des Gerichts zurückgeführt werden.</w:t>
      </w:r>
    </w:p>
    <w:p/>
    <w:p>
      <w:pPr>
        <w:pStyle w:val="Heading3"/>
      </w:pPr>
      <w:r>
        <w:rPr>
          <w:rFonts w:ascii="Times New Roman" w:hAnsi="Times New Roman"/>
        </w:rPr>
        <w:t>IV. Zum Bestechungsvorwurf (§ 334 StGB)</w:t>
      </w:r>
    </w:p>
    <w:p>
      <w:pPr>
        <w:jc w:val="left"/>
      </w:pPr>
      <w:r>
        <w:t>Ich bestreite, Pollmann oder andere Einkäufer der ABC SE Bargeld oder geldwerte Vorteile mit dem Ziel gewährt zu haben, mir unberechtigte Vorteile bei der Auftragsvergabe zu verschaffen.</w:t>
      </w:r>
    </w:p>
    <w:p>
      <w:pPr>
        <w:jc w:val="left"/>
      </w:pPr>
      <w:r>
        <w:t>Es hat im Rahmen unserer Geschäftsbeziehung übliche Bewirtungen und Einladungen zu Veranstaltungen gegeben — dies entspricht dem branchenüblichen Kundenbeziehungsmanagement. Ein etwaiger Besuch in Dubai im Jahr 2021 war eine gemeinsame Dienstreise, bei der wir einen potenziellen Zulieferer besichtigt haben. Ich bestreite, dass Pollmann dabei auf meine Kosten gereist ist.</w:t>
      </w:r>
    </w:p>
    <w:p>
      <w:pPr>
        <w:jc w:val="left"/>
      </w:pPr>
      <w:r>
        <w:t>Die angeblichen Barzahlungsbelege (Bd. VII) stammen nach meiner Überzeugung aus der Buchhaltung von Hartmut Geweke, nicht aus meiner Sphäre. Ich fordere eine vollständige Aufklärung über die Herkunft dieser Belege.</w:t>
      </w:r>
    </w:p>
    <w:p/>
    <w:p>
      <w:pPr>
        <w:pStyle w:val="Heading3"/>
      </w:pPr>
      <w:r>
        <w:rPr>
          <w:rFonts w:ascii="Times New Roman" w:hAnsi="Times New Roman"/>
        </w:rPr>
        <w:t>V. Zum Steuerhinterziehungsvorwurf (§ 370 AO)</w:t>
      </w:r>
    </w:p>
    <w:p>
      <w:pPr>
        <w:jc w:val="left"/>
      </w:pPr>
      <w:r>
        <w:t>Ich habe alle Steuererklärungen von meinem Steuerberater, Dipl.-Kfm. Hans-Jürgen Bruns, erstellen lassen. Ich habe ihm alle relevanten Unterlagen übergeben und darauf vertraut, dass die Erklärungen korrekt sind. Über etwaige steuerliche Besonderheiten bei der Verbuchung bestimmter Geschäftsvorfälle hat Herr Bruns mich nicht aufgeklärt.</w:t>
      </w:r>
    </w:p>
    <w:p>
      <w:pPr>
        <w:jc w:val="left"/>
      </w:pPr>
      <w:r>
        <w:t>Ich habe die Steuererklärungen unterschrieben, ohne von ihrer Unrichtigkeit zu wissen. Der für § 370 AO erforderliche Vorsatz fehlt.</w:t>
      </w:r>
    </w:p>
    <w:p/>
    <w:p>
      <w:pPr>
        <w:pStyle w:val="Heading3"/>
      </w:pPr>
      <w:r>
        <w:rPr>
          <w:rFonts w:ascii="Times New Roman" w:hAnsi="Times New Roman"/>
        </w:rPr>
        <w:t>VI. Schlussbemerkung</w:t>
      </w:r>
    </w:p>
    <w:p>
      <w:pPr>
        <w:jc w:val="left"/>
      </w:pPr>
      <w:r>
        <w:t>Ich verstehe, dass das Gericht die Beweise sorgfältig prüfen wird. Ich vertraue der deutschen Justiz und bin bereit, an der vollständigen Aufklärung aller Umstände mitzuwirken. Ich bitte das Gericht, die Aussagen der Belastungszeugen kritisch zu hinterfragen und die in der Hauptverhandlung dargelegten Entlastungsbeweise zu berücksichtigen.</w:t>
      </w:r>
    </w:p>
    <w:p/>
    <w:p>
      <w:pPr>
        <w:jc w:val="left"/>
      </w:pPr>
      <w:r>
        <w:rPr>
          <w:i/>
        </w:rPr>
        <w:t>[ENTWURF — Dr. F. Marx, Marx Strafverteidigung Frankfurt, 15.05.2025 — nicht autorisiert]</w:t>
      </w:r>
    </w:p>
    <w:p>
      <w:pPr>
        <w:jc w:val="left"/>
      </w:pPr>
      <w:r>
        <w:rPr>
          <w:i/>
        </w:rPr>
        <w:t>Az.: 5/28 KLs 122/25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