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Kanzleinotiz — Strategiekonferenz Bankert</w:t>
      </w:r>
    </w:p>
    <w:p>
      <w:pPr>
        <w:jc w:val="left"/>
      </w:pPr>
      <w:r>
        <w:rPr>
          <w:b/>
        </w:rPr>
        <w:t>Marx Strafverteidigung Frankfurt</w:t>
      </w:r>
    </w:p>
    <w:p>
      <w:pPr>
        <w:jc w:val="left"/>
      </w:pPr>
      <w:r>
        <w:rPr>
          <w:b/>
        </w:rPr>
        <w:t>Vertraulich — Anwaltsgeheimnis § 53 StPO</w:t>
      </w:r>
    </w:p>
    <w:p>
      <w:pPr>
        <w:jc w:val="left"/>
      </w:pPr>
      <w:r>
        <w:t>Datum: 20. Mai 2025, 14:00–17:30 Uhr</w:t>
      </w:r>
    </w:p>
    <w:p>
      <w:pPr>
        <w:jc w:val="left"/>
      </w:pPr>
      <w:r>
        <w:t>Ort: Kanzlei Marx Strafverteidigung Frankfurt, Bockenheimer Landstraße 84, Besprechungsraum 2</w:t>
      </w:r>
    </w:p>
    <w:p>
      <w:pPr>
        <w:jc w:val="left"/>
      </w:pPr>
      <w:r>
        <w:t>Teilnehmer: Dr. Friederike Marx (Verteidigerin), Dipl.-Kfm. Olaf Strenger (wirtschaftlicher Berater, extern), RAin Kirsten Dabel (assoziierte Anwältin, Steuerrecht), Stud. jur. Maximilian Probst (Referendar)</w:t>
      </w:r>
    </w:p>
    <w:p>
      <w:pPr>
        <w:jc w:val="left"/>
      </w:pPr>
      <w:r>
        <w:t>Protokoll: RAin Dabel (redigiert Dr. Marx, 21.05.2025)</w:t>
      </w:r>
    </w:p>
    <w:p/>
    <w:p>
      <w:pPr>
        <w:pStyle w:val="Heading2"/>
      </w:pPr>
      <w:r>
        <w:rPr>
          <w:rFonts w:ascii="Times New Roman" w:hAnsi="Times New Roman"/>
        </w:rPr>
        <w:t>1. Agenda</w:t>
      </w:r>
    </w:p>
    <w:p>
      <w:pPr>
        <w:pStyle w:val="ListNumber"/>
      </w:pPr>
      <w:r>
        <w:t>Auswertung Haftbeschwerde-Entscheidung</w:t>
      </w:r>
    </w:p>
    <w:p>
      <w:pPr>
        <w:pStyle w:val="ListNumber"/>
      </w:pPr>
      <w:r>
        <w:t>Entscheidung Verständigung § 257c StPO</w:t>
      </w:r>
    </w:p>
    <w:p>
      <w:pPr>
        <w:pStyle w:val="ListNumber"/>
      </w:pPr>
      <w:r>
        <w:t>Hauptverhandlungsstrategie</w:t>
      </w:r>
    </w:p>
    <w:p>
      <w:pPr>
        <w:pStyle w:val="ListNumber"/>
      </w:pPr>
      <w:r>
        <w:t>Adäsionsantrag und Zivilvergleich</w:t>
      </w:r>
    </w:p>
    <w:p>
      <w:pPr>
        <w:pStyle w:val="ListNumber"/>
      </w:pPr>
      <w:r>
        <w:t>Gesellschafterkonflikt Geweke / Unternehmensfortbestand</w:t>
      </w:r>
    </w:p>
    <w:p>
      <w:pPr>
        <w:pStyle w:val="ListNumber"/>
      </w:pPr>
      <w:r>
        <w:t>Sonstiges / Fristenübersicht</w:t>
      </w:r>
    </w:p>
    <w:p/>
    <w:p>
      <w:pPr>
        <w:pStyle w:val="Heading2"/>
      </w:pPr>
      <w:r>
        <w:rPr>
          <w:rFonts w:ascii="Times New Roman" w:hAnsi="Times New Roman"/>
        </w:rPr>
        <w:t>2. Haftbeschwerde (TOP 1)</w:t>
      </w:r>
    </w:p>
    <w:p>
      <w:pPr>
        <w:jc w:val="left"/>
      </w:pPr>
      <w:r>
        <w:t xml:space="preserve">Das Landgericht Frankfurt am Main hat die Haftbeschwerde vom 09. Mai 2025 mit Beschluss vom </w:t>
      </w:r>
      <w:r>
        <w:rPr>
          <w:b/>
        </w:rPr>
        <w:t>16. Mai 2025</w:t>
      </w:r>
      <w:r>
        <w:t xml:space="preserve"> (Az. 5/28 KLs 122/25) zurückgewiesen und den Haftbefehl aufrechterhalten. Haftgrund Fluchtgefahr wurde bestätigt. Die Kammer hat jedoch angedeutet, dass bei Vorlage einer geeigneten Sicherheitsleistung (500.000 EUR Bankbürgschaft) eine Außervollzugsetzung nach § 116 StPO „nicht ausgeschlossen" sei.</w:t>
      </w:r>
    </w:p>
    <w:p>
      <w:pPr>
        <w:jc w:val="left"/>
      </w:pPr>
      <w:r>
        <w:rPr>
          <w:b/>
        </w:rPr>
        <w:t>Beschluss:</w:t>
      </w:r>
      <w:r>
        <w:t xml:space="preserve"> Dr. Marx unternimmt die nötigen Schritte, eine Bankbürgschaft der Ehefrau Bankert (Zürich) zu organisieren. Frist: 26. Mai 2025. Strenger übernimmt Liaison zu Schweizer Bank.</w:t>
      </w:r>
    </w:p>
    <w:p/>
    <w:p>
      <w:pPr>
        <w:pStyle w:val="Heading2"/>
      </w:pPr>
      <w:r>
        <w:rPr>
          <w:rFonts w:ascii="Times New Roman" w:hAnsi="Times New Roman"/>
        </w:rPr>
        <w:t>3. Verständigung § 257c StPO (TOP 2)</w:t>
      </w:r>
    </w:p>
    <w:p>
      <w:pPr>
        <w:jc w:val="left"/>
      </w:pPr>
      <w:r>
        <w:rPr>
          <w:b/>
        </w:rPr>
        <w:t>Bankerts Entscheidung (mündlich beim Haftbesuch 19.05.2025):</w:t>
      </w:r>
      <w:r>
        <w:t xml:space="preserve"> Der Mandant hat sich entschlossen, das Verständigungsangebot </w:t>
      </w:r>
      <w:r>
        <w:rPr>
          <w:b/>
        </w:rPr>
        <w:t>nicht</w:t>
      </w:r>
      <w:r>
        <w:t xml:space="preserve"> in der angebotenen Form anzunehmen, aber einen </w:t>
      </w:r>
      <w:r>
        <w:rPr>
          <w:b/>
        </w:rPr>
        <w:t>Gegenvorschlag</w:t>
      </w:r>
      <w:r>
        <w:t xml:space="preserve"> zu machen:</w:t>
      </w:r>
    </w:p>
    <w:p>
      <w:pPr>
        <w:pStyle w:val="ListBullet"/>
      </w:pPr>
      <w:r>
        <w:t>Geständnis zu 10 von 14 Betrugsfällen (Gruppen B, C, D — in Gruppe A wird Freispruch angestrebt)</w:t>
      </w:r>
    </w:p>
    <w:p>
      <w:pPr>
        <w:pStyle w:val="ListBullet"/>
      </w:pPr>
      <w:r>
        <w:t>Geständnis zu Steuerhinterziehung in VZ 2020 und 2021 (nicht 2019 und 2022, da dort Vorsatz bestritten)</w:t>
      </w:r>
    </w:p>
    <w:p>
      <w:pPr>
        <w:pStyle w:val="ListBullet"/>
      </w:pPr>
      <w:r>
        <w:t>Zahlung von 400.000 EUR Steuernachzahlung bis Hauptverhandlungsbeginn</w:t>
      </w:r>
    </w:p>
    <w:p>
      <w:pPr>
        <w:pStyle w:val="ListBullet"/>
      </w:pPr>
      <w:r>
        <w:t>Zielstrafe: 3 Jahre (nicht 3 Jahre 9 Monate)</w:t>
      </w:r>
    </w:p>
    <w:p>
      <w:pPr>
        <w:jc w:val="left"/>
      </w:pPr>
      <w:r>
        <w:rPr>
          <w:b/>
        </w:rPr>
        <w:t>Bewertung Konferenz:</w:t>
      </w:r>
      <w:r>
        <w:t xml:space="preserve"> Die Staatsanwaltschaft wird den Gegenvorschlag wahrscheinlich ablehnen; sie hat wenig Flexibilität beim Strafmaß nach oben (Nachfrage beim Gericht). Wahrscheinlich wird das Angebot auf 3 Jahre 6 Monate als Kompromiss angepasst.</w:t>
      </w:r>
    </w:p>
    <w:p>
      <w:pPr>
        <w:jc w:val="left"/>
      </w:pPr>
      <w:r>
        <w:rPr>
          <w:b/>
        </w:rPr>
        <w:t>Beschluss:</w:t>
      </w:r>
      <w:r>
        <w:t xml:space="preserve"> Dr. Marx übermittelt Gegenvorschlag an OStA Wallisch bis 22.05.2025 (Frist 23.05.2025 ist demnächst). Telefonischer Kontakt vorab.</w:t>
      </w:r>
    </w:p>
    <w:p/>
    <w:p>
      <w:pPr>
        <w:pStyle w:val="Heading2"/>
      </w:pPr>
      <w:r>
        <w:rPr>
          <w:rFonts w:ascii="Times New Roman" w:hAnsi="Times New Roman"/>
        </w:rPr>
        <w:t>4. Hauptverhandlungsstrategie (TOP 3)</w:t>
      </w:r>
    </w:p>
    <w:p>
      <w:pPr>
        <w:jc w:val="left"/>
      </w:pPr>
      <w:r>
        <w:t>Konsensuell erarbeitet die Konferenz folgende Strategie (für den Fall, dass keine Verständigung zustande kommt):</w:t>
      </w:r>
    </w:p>
    <w:p>
      <w:pPr>
        <w:pStyle w:val="Heading3"/>
      </w:pPr>
      <w:r>
        <w:rPr>
          <w:rFonts w:ascii="Times New Roman" w:hAnsi="Times New Roman"/>
        </w:rPr>
        <w:t>4.1 Betrugsvorwurf</w:t>
      </w:r>
    </w:p>
    <w:p>
      <w:pPr>
        <w:jc w:val="left"/>
      </w:pPr>
      <w:r>
        <w:rPr>
          <w:b/>
        </w:rPr>
        <w:t>Kernstrategie:</w:t>
      </w:r>
      <w:r>
        <w:t xml:space="preserve"> Irrtum des Verfügenden erschüttern; Wissen Pollmanns über Remanufactured-Anlagen beweisen.</w:t>
      </w:r>
    </w:p>
    <w:p>
      <w:pPr>
        <w:jc w:val="left"/>
      </w:pPr>
      <w:r>
        <w:t>Beweismittel (geplant):</w:t>
      </w:r>
    </w:p>
    <w:p>
      <w:pPr>
        <w:pStyle w:val="ListBullet"/>
      </w:pPr>
      <w:r>
        <w:t>Bankerts persönliche Einlassung (vgl. Aktenstück 19)</w:t>
      </w:r>
    </w:p>
    <w:p>
      <w:pPr>
        <w:pStyle w:val="ListBullet"/>
      </w:pPr>
      <w:r>
        <w:t>Widersprüche in Pollmanns Aussagen (vgl. Aktenstück 06)</w:t>
      </w:r>
    </w:p>
    <w:p>
      <w:pPr>
        <w:pStyle w:val="ListBullet"/>
      </w:pPr>
      <w:r>
        <w:t>Gegengutachten Maschinenbewertung (Prof. Helbig, Beauftragung läuft)</w:t>
      </w:r>
    </w:p>
    <w:p>
      <w:pPr>
        <w:pStyle w:val="ListBullet"/>
      </w:pPr>
      <w:r>
        <w:t>Wartungsprotokolle ABC SE (Bd. X) — Anlagen liefen störungsfrei</w:t>
      </w:r>
    </w:p>
    <w:p>
      <w:pPr>
        <w:pStyle w:val="ListBullet"/>
      </w:pPr>
      <w:r>
        <w:t>Beweisantrag auf Herausgabe interner ABC-Kommunikation (Nov. 2022 vor offizieller Revision)</w:t>
      </w:r>
    </w:p>
    <w:p>
      <w:pPr>
        <w:pStyle w:val="Heading3"/>
      </w:pPr>
      <w:r>
        <w:rPr>
          <w:rFonts w:ascii="Times New Roman" w:hAnsi="Times New Roman"/>
        </w:rPr>
        <w:t>4.2 Untreue</w:t>
      </w:r>
    </w:p>
    <w:p>
      <w:pPr>
        <w:jc w:val="left"/>
      </w:pPr>
      <w:r>
        <w:rPr>
          <w:b/>
        </w:rPr>
        <w:t>Kernstrategie:</w:t>
      </w:r>
      <w:r>
        <w:t xml:space="preserve"> Echtheit Treuhandvertrag Anlage B14 beweisen; mündliche Geweke-Zustimmung belegen.</w:t>
      </w:r>
    </w:p>
    <w:p>
      <w:pPr>
        <w:jc w:val="left"/>
      </w:pPr>
      <w:r>
        <w:t>Beweismittel:</w:t>
      </w:r>
    </w:p>
    <w:p>
      <w:pPr>
        <w:pStyle w:val="ListBullet"/>
      </w:pPr>
      <w:r>
        <w:t>Gegengutachten Schriftvergleich (Frist 25.05.2025)</w:t>
      </w:r>
    </w:p>
    <w:p>
      <w:pPr>
        <w:pStyle w:val="ListBullet"/>
      </w:pPr>
      <w:r>
        <w:t>Kreditkartenabrechnung Sept. 2020 (Reise Vaduz)</w:t>
      </w:r>
    </w:p>
    <w:p>
      <w:pPr>
        <w:pStyle w:val="ListBullet"/>
      </w:pPr>
      <w:r>
        <w:t>Zeuge: Hartmut Geweke (Beweisantrag auf Ladung)</w:t>
      </w:r>
    </w:p>
    <w:p>
      <w:pPr>
        <w:pStyle w:val="Heading3"/>
      </w:pPr>
      <w:r>
        <w:rPr>
          <w:rFonts w:ascii="Times New Roman" w:hAnsi="Times New Roman"/>
        </w:rPr>
        <w:t>4.3 Bestechung</w:t>
      </w:r>
    </w:p>
    <w:p>
      <w:pPr>
        <w:jc w:val="left"/>
      </w:pPr>
      <w:r>
        <w:rPr>
          <w:b/>
        </w:rPr>
        <w:t>Kernstrategie:</w:t>
      </w:r>
      <w:r>
        <w:t xml:space="preserve"> Keine eigene Strafbarkeit; alternativ: Herkunft der Belege aus Geweke-Sphäre.</w:t>
      </w:r>
    </w:p>
    <w:p>
      <w:pPr>
        <w:jc w:val="left"/>
      </w:pPr>
      <w:r>
        <w:t>Beweismittel:</w:t>
      </w:r>
    </w:p>
    <w:p>
      <w:pPr>
        <w:pStyle w:val="ListBullet"/>
      </w:pPr>
      <w:r>
        <w:t>Bankkonten Geweke (Beweisantrag auf Kontoauszüge)</w:t>
      </w:r>
    </w:p>
    <w:p>
      <w:pPr>
        <w:pStyle w:val="ListBullet"/>
      </w:pPr>
      <w:r>
        <w:t>Kohlrausch-E-Mail (Bd. IX, Bl. 1880) — Eigenmotiv der Zeugin</w:t>
      </w:r>
    </w:p>
    <w:p>
      <w:pPr>
        <w:pStyle w:val="Heading3"/>
      </w:pPr>
      <w:r>
        <w:rPr>
          <w:rFonts w:ascii="Times New Roman" w:hAnsi="Times New Roman"/>
        </w:rPr>
        <w:t>4.4 Steuerhinterziehung</w:t>
      </w:r>
    </w:p>
    <w:p>
      <w:pPr>
        <w:jc w:val="left"/>
      </w:pPr>
      <w:r>
        <w:rPr>
          <w:b/>
        </w:rPr>
        <w:t>Kernstrategie:</w:t>
      </w:r>
      <w:r>
        <w:t xml:space="preserve"> Kein Vorsatz; Steuerberater-Verantwortlichkeit.</w:t>
      </w:r>
    </w:p>
    <w:p>
      <w:pPr>
        <w:jc w:val="left"/>
      </w:pPr>
      <w:r>
        <w:t>Beweismittel:</w:t>
      </w:r>
    </w:p>
    <w:p>
      <w:pPr>
        <w:pStyle w:val="ListBullet"/>
      </w:pPr>
      <w:r>
        <w:t>Zeuge: Steuerberater Hans-Jürgen Bruns (Ladung; § 53 StPO Zeugnisverweigerungsrecht prüfen)</w:t>
      </w:r>
    </w:p>
    <w:p>
      <w:pPr>
        <w:pStyle w:val="ListBullet"/>
      </w:pPr>
      <w:r>
        <w:t>Vollständige Buchhaltungsunterlagen BIA GmbH 2019–2022</w:t>
      </w:r>
    </w:p>
    <w:p/>
    <w:p>
      <w:pPr>
        <w:pStyle w:val="Heading2"/>
      </w:pPr>
      <w:r>
        <w:rPr>
          <w:rFonts w:ascii="Times New Roman" w:hAnsi="Times New Roman"/>
        </w:rPr>
        <w:t>5. Adäsionsantrag und Zivilvergleich (TOP 4)</w:t>
      </w:r>
    </w:p>
    <w:p>
      <w:pPr>
        <w:jc w:val="left"/>
      </w:pPr>
      <w:r>
        <w:t>Strenger empfiehlt, parallel zum Strafverfahren einen Zivilvergleich mit der ABC SE vorzubereiten. Richtwert: 1,5–2,0 Mio. EUR. Dr. Marx nimmt Kontakt zu RA Krämer auf. Voraussetzung: Mandant muss Zahlung finanzieren können — Prüfung Deckung durch Trust-Mittel (Liechtenstein) oder Immobilienvermögen Bankert.</w:t>
      </w:r>
    </w:p>
    <w:p/>
    <w:p>
      <w:pPr>
        <w:pStyle w:val="Heading2"/>
      </w:pPr>
      <w:r>
        <w:rPr>
          <w:rFonts w:ascii="Times New Roman" w:hAnsi="Times New Roman"/>
        </w:rPr>
        <w:t>6. Gesellschafterkonflikt Geweke / Unternehmensfortbestand (TOP 5)</w:t>
      </w:r>
    </w:p>
    <w:p>
      <w:pPr>
        <w:jc w:val="left"/>
      </w:pPr>
      <w:r>
        <w:t>Geweke hat Klage auf Abberufung Bankert als Geschäftsführer angekündigt (Arbeitsgericht?, nein: LG Zivilkammer). Dabel übernimmt die gesellschaftsrechtliche Beratung. Prüfung: Ob Gerichtsentscheidung vor der HV fällt; wenn ja, könnte Unternehmensleitung auf Heilig übergehen — was die Fluchtgefahrprognose möglicherweise reduziert.</w:t>
      </w:r>
    </w:p>
    <w:p>
      <w:pPr>
        <w:jc w:val="left"/>
      </w:pPr>
      <w:r>
        <w:t>Insolvenzgefahr der BIA GmbH: Dabel leitet an Insolvenzberater Kanzlei Reinhart &amp; Schmölzer weiter.</w:t>
      </w:r>
    </w:p>
    <w:p/>
    <w:p>
      <w:pPr>
        <w:pStyle w:val="Heading2"/>
      </w:pPr>
      <w:r>
        <w:rPr>
          <w:rFonts w:ascii="Times New Roman" w:hAnsi="Times New Roman"/>
        </w:rPr>
        <w:t>7. Fristenübersicht (TOP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Gegenvorschlag § 257c an StA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Marx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Sicherheitsleistung (Bankbürgschaft)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Strenger / Dr. Marx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Schriftgutachten Anlage B14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25.05.2025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Marx (Beauftragung)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Gegengutachten Maschinenbewertung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Marx (Beauftragung)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Beweisantrag an LG Frankfurt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09.06.2025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Marx / Dabel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HV-Beginn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23.06.2025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/>
    <w:p>
      <w:pPr>
        <w:jc w:val="left"/>
      </w:pPr>
      <w:r>
        <w:rPr>
          <w:i/>
        </w:rPr>
        <w:t>Nächste Konferenz: 02.06.2025, 10:00 Uhr — Dr. Marx</w:t>
      </w:r>
    </w:p>
    <w:p>
      <w:pPr>
        <w:jc w:val="left"/>
      </w:pPr>
      <w:r>
        <w:rPr>
          <w:i/>
        </w:rPr>
        <w:t>Dr. Friederike Marx — Marx Strafverteidigung Frankfurt — Az. 5/28 KLs 122/25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