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Fristenkalender Hauptverhandlung — LG Frankfurt, 5/28 KLs 122/25</w:t>
      </w:r>
    </w:p>
    <w:p>
      <w:pPr>
        <w:jc w:val="left"/>
      </w:pPr>
      <w:r>
        <w:rPr>
          <w:b/>
        </w:rPr>
        <w:t>Marx Strafverteidigung Frankfurt</w:t>
      </w:r>
    </w:p>
    <w:p>
      <w:pPr>
        <w:jc w:val="left"/>
      </w:pPr>
      <w:r>
        <w:rPr>
          <w:b/>
        </w:rPr>
        <w:t>Kanzlei-intern — Fristen und HV-Planung</w:t>
      </w:r>
    </w:p>
    <w:p>
      <w:pPr>
        <w:jc w:val="left"/>
      </w:pPr>
      <w:r>
        <w:t>Erstellt: 12. Mai 2025 — Laufend aktualisiert</w:t>
      </w:r>
    </w:p>
    <w:p>
      <w:pPr>
        <w:jc w:val="left"/>
      </w:pPr>
      <w:r>
        <w:t>Az.: 5/28 KLs 122/25 / 5400 Js 14782/24</w:t>
      </w:r>
    </w:p>
    <w:p/>
    <w:p>
      <w:pPr>
        <w:pStyle w:val="Heading2"/>
      </w:pPr>
      <w:r>
        <w:rPr>
          <w:rFonts w:ascii="Times New Roman" w:hAnsi="Times New Roman"/>
        </w:rPr>
        <w:t>Übersicht Hauptverhandlungstermine (LG Frankfurt, 14. Gr. WiStK)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HV-Tag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Beginn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Geplante Inhalte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23.06.2025 (Mo.)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09:30 Uhr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Eröffnung, Zulassung Nebenklage, Verlesung Anklage, Erklärung Angeklagter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24.06.2025 (Di.)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09:30 Uhr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Einlassung Angeklagter (falls abgegeben), Antrag Verteidigung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26.06.2025 (Do.)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09:30 Uhr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Zeuge Pollmann (StA), Zeuge Pollmann (Nebenklage), Zeuge Pollmann (Verteidigung)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01.07.2025 (Di.)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09:30 Uhr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Zeugin Kohlrausch; Zeuge Geweke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03.07.2025 (Do.)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09:30 Uhr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Sachverständiger Ohlsen (Steuern)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08.07.2025 (Di.)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09:30 Uhr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Gegensachverständiger Maschinenbewertung (falls bestellt)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10.07.2025 (Do.)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09:30 Uhr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Schriftverständiger Anlage B14 (falls bestellt)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15.07.2025 (Di.)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09:30 Uhr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Weitere Zeugen; Urkundenbeweis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17.07.2025 (Do.)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09:30 Uhr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Urkundenbeweis, Beweisantragsbehandlung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22.07.2025 (Di.)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09:30 Uhr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Schlussvorträge (StA, Nebenklage, Verteidigung, letzte Worte Angeklagter)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23.07.2025 (Mi.)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09:30 Uhr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Urteilsverkündung (Reservetag)</w:t>
            </w:r>
          </w:p>
        </w:tc>
      </w:tr>
    </w:tbl>
    <w:p>
      <w:pPr>
        <w:jc w:val="left"/>
      </w:pPr>
      <w:r>
        <w:rPr>
          <w:i/>
        </w:rPr>
        <w:t>HV-Termine provisorisch gemäß Mitteilung LG Frankfurt an Verfahrensbeteiligte vom 30.04.2025. Änderungen vorbehalten.</w:t>
      </w:r>
    </w:p>
    <w:p/>
    <w:p>
      <w:pPr>
        <w:pStyle w:val="Heading2"/>
      </w:pPr>
      <w:r>
        <w:rPr>
          <w:rFonts w:ascii="Times New Roman" w:hAnsi="Times New Roman"/>
        </w:rPr>
        <w:t>Kritische Fristen — Gesamtübersicht</w:t>
      </w:r>
    </w:p>
    <w:p>
      <w:pPr>
        <w:pStyle w:val="Heading3"/>
      </w:pPr>
      <w:r>
        <w:rPr>
          <w:rFonts w:ascii="Times New Roman" w:hAnsi="Times New Roman"/>
        </w:rPr>
        <w:t>Mai 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Erledigt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22.05.2025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Gegenvorschlag § 257c StPO an OStA Wallisch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☐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23.05.2025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Ablauf Frist Verständigungsangebot StA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25.05.2025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Beauftragung Gegensachverständiger Schriftvergleich (Anlage B14)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☐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26.05.2025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Sicherheitsleistung (Bankbürgschaft 500.000 EUR) für § 116 StPO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☐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28.05.2025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Akteneinsicht in digitale Asservate (Kreditkartenauszüge, Outlook-Daten Bankert) beantragen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☐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30.05.2025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Zweiter Haftbesuch JVA Frankfurt 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☐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Juni 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Erledigt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02.06.2025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Interne Strategiekonferenz (Folgekonferenz)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☐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05.06.2025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Kontaktaufnahme RA Krämer (Adäsionsvergleich)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☐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09.06.2025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Beweisantragsschriften an LG Frankfurt einreichen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☐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10.06.2025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Gegengutachten Maschinenbewertung (Beauftragung abgeschlossen)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☐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16.06.2025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Einlassung Bankert (Entwurf) final abstimmen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☐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20.06.2025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Zeugenliste und Fragen Pollmann / Kohlrausch finalisieren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☐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23.06.2025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HV-Beginn — 14. Gr. WiStK LG Frankfurt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Prozessuale Besonderheiten / Hinweise</w:t>
      </w:r>
    </w:p>
    <w:p>
      <w:pPr>
        <w:pStyle w:val="Heading3"/>
      </w:pPr>
      <w:r>
        <w:rPr>
          <w:rFonts w:ascii="Times New Roman" w:hAnsi="Times New Roman"/>
        </w:rPr>
        <w:t>Revisionssicherung</w:t>
      </w:r>
    </w:p>
    <w:p>
      <w:pPr>
        <w:jc w:val="left"/>
      </w:pPr>
      <w:r>
        <w:t>Alle wesentlichen Antragstellungen müssen protokolliert und in der HV zu Protokoll gegeben werden. Dr. Marx führt ein eigenes HV-Protokoll (Diktat nach jedem Verhandlungstag). Beweisanträge werden schriftlich eingereicht und zusätzlich mündlich in der HV gestellt.</w:t>
      </w:r>
    </w:p>
    <w:p>
      <w:pPr>
        <w:pStyle w:val="Heading3"/>
      </w:pPr>
      <w:r>
        <w:rPr>
          <w:rFonts w:ascii="Times New Roman" w:hAnsi="Times New Roman"/>
        </w:rPr>
        <w:t>§ 257c StPO — Verständigungsdokumentation</w:t>
      </w:r>
    </w:p>
    <w:p>
      <w:pPr>
        <w:jc w:val="left"/>
      </w:pPr>
      <w:r>
        <w:t>Falls eine Verständigung zustande kommt, ist folgendes zu dokumentieren:</w:t>
      </w:r>
    </w:p>
    <w:p>
      <w:pPr>
        <w:pStyle w:val="ListBullet"/>
      </w:pPr>
      <w:r>
        <w:t>Antrag der Verteidigung oder Initiative des Gerichts (§ 257c Abs. 1 StPO),</w:t>
      </w:r>
    </w:p>
    <w:p>
      <w:pPr>
        <w:pStyle w:val="ListBullet"/>
      </w:pPr>
      <w:r>
        <w:t>Erörterung in Anwesenheit des Angeklagten (§ 257c Abs. 3 S. 4 StPO),</w:t>
      </w:r>
    </w:p>
    <w:p>
      <w:pPr>
        <w:pStyle w:val="ListBullet"/>
      </w:pPr>
      <w:r>
        <w:t>Belehrung des Angeklagten über Inhalt und Folgen (§ 257c Abs. 5 StPO),</w:t>
      </w:r>
    </w:p>
    <w:p>
      <w:pPr>
        <w:pStyle w:val="ListBullet"/>
      </w:pPr>
      <w:r>
        <w:t>Protokollierung (§ 273 Abs. 1a StPO).</w:t>
      </w:r>
    </w:p>
    <w:p>
      <w:pPr>
        <w:jc w:val="left"/>
      </w:pPr>
      <w:r>
        <w:t>Fehler in der Verständigungsdokumentation führen nach der BGH-Rechtsprechung regelmäßig zur Revisibilität des Urteils (BGH, Urteil vom 28.10.2015 — 1 StR 330/15; BGH, Urteil vom 19.08.2015 — 1 StR 178/15).</w:t>
      </w:r>
    </w:p>
    <w:p>
      <w:pPr>
        <w:pStyle w:val="Heading3"/>
      </w:pPr>
      <w:r>
        <w:rPr>
          <w:rFonts w:ascii="Times New Roman" w:hAnsi="Times New Roman"/>
        </w:rPr>
        <w:t>Nebenklage</w:t>
      </w:r>
    </w:p>
    <w:p>
      <w:pPr>
        <w:jc w:val="left"/>
      </w:pPr>
      <w:r>
        <w:t>Termine und Schriftsätze sind auch dem Nebenklägervertreter (RA Krämer) zuzustellen. Fristen nach der ZPO-Analogie (§ 396 Abs. 2 StPO i.V.m. § 273 ZPO) sind zu beachten.</w:t>
      </w:r>
    </w:p>
    <w:p>
      <w:pPr>
        <w:pStyle w:val="Heading3"/>
      </w:pPr>
      <w:r>
        <w:rPr>
          <w:rFonts w:ascii="Times New Roman" w:hAnsi="Times New Roman"/>
        </w:rPr>
        <w:t>HV-Beginn — Checkliste</w:t>
      </w:r>
    </w:p>
    <w:p>
      <w:pPr>
        <w:jc w:val="left"/>
      </w:pPr>
      <w:r>
        <w:t>Vor dem ersten HV-Tag (23.06.2025) sicherstellen:</w:t>
      </w:r>
    </w:p>
    <w:p>
      <w:pPr>
        <w:pStyle w:val="ListBullet"/>
      </w:pPr>
      <w:r>
        <w:t>[ ] Vollmacht aktuell und bei Gericht hinterlegt</w:t>
      </w:r>
    </w:p>
    <w:p>
      <w:pPr>
        <w:pStyle w:val="ListBullet"/>
      </w:pPr>
      <w:r>
        <w:t>[ ] Einlassung Bankert abgestimmt (oder Schweigen angekündigt)</w:t>
      </w:r>
    </w:p>
    <w:p>
      <w:pPr>
        <w:pStyle w:val="ListBullet"/>
      </w:pPr>
      <w:r>
        <w:t>[ ] Alle Beweisanträge vorbereitet und ausgedruckt (3-fach: Gericht, StA, eigene Akte)</w:t>
      </w:r>
    </w:p>
    <w:p>
      <w:pPr>
        <w:pStyle w:val="ListBullet"/>
      </w:pPr>
      <w:r>
        <w:t>[ ] Adäsionsantrag — eigene Stellungnahme vorbereitet</w:t>
      </w:r>
    </w:p>
    <w:p>
      <w:pPr>
        <w:pStyle w:val="ListBullet"/>
      </w:pPr>
      <w:r>
        <w:t>[ ] Unterlagen Anlage B14 Gegengutachten vorhanden</w:t>
      </w:r>
    </w:p>
    <w:p>
      <w:pPr>
        <w:pStyle w:val="ListBullet"/>
      </w:pPr>
      <w:r>
        <w:t>[ ] Bankerts Verständigungsentscheidung schriftlich dokumentiert</w:t>
      </w:r>
    </w:p>
    <w:p/>
    <w:p>
      <w:pPr>
        <w:pStyle w:val="Heading2"/>
      </w:pPr>
      <w:r>
        <w:rPr>
          <w:rFonts w:ascii="Times New Roman" w:hAnsi="Times New Roman"/>
        </w:rPr>
        <w:t>Gesetzliche Fristen (allgemein)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Rechtsmittel / Antrag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Fundstelle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Revision nach Urteilsverkündung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 Woche ab Urteilsverkündung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341 StPO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Revisionsbegründung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 Monat ab Zustellung Urteil (schriftlich)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345 StPO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Berufung (Schöffengericht)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 (hier nicht einschlägig)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Sofortige Beschwerde (z.B. Haftentscheidungen)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 Woche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311 StPO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Haftprüfungsantrag nach Ablehnung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jederzeit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117 Abs. 3 StPO</w:t>
            </w:r>
          </w:p>
        </w:tc>
      </w:tr>
    </w:tbl>
    <w:p/>
    <w:p>
      <w:pPr>
        <w:jc w:val="left"/>
      </w:pPr>
      <w:r>
        <w:rPr>
          <w:i/>
        </w:rPr>
        <w:t>Dr. Friederike Marx — Marx Strafverteidigung Frankfurt — Az. 5/28 KLs 122/25</w:t>
      </w:r>
    </w:p>
    <w:p>
      <w:pPr>
        <w:jc w:val="left"/>
      </w:pPr>
      <w:r>
        <w:rPr>
          <w:i/>
        </w:rPr>
        <w:t>Stand: 12.05.2025 — Fortlaufend zu aktualisieren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