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Rechtsprechung BFH, BVerwG, BSG, BAG: Pruefkorpus</w:t>
      </w:r>
    </w:p>
    <w:p>
      <w:pPr>
        <w:jc w:val="left"/>
      </w:pPr>
      <w:r>
        <w:rPr>
          <w:b/>
        </w:rPr>
        <w:t>Pruefkorpus-Abschnitt: BFH, BVerwG, BSG, BAG</w:t>
      </w:r>
    </w:p>
    <w:p>
      <w:pPr>
        <w:jc w:val="left"/>
      </w:pPr>
      <w:r>
        <w:rPr>
          <w:b/>
        </w:rPr>
        <w:t>Bearbeiterin: Dr. Sophia Pohlmann-Wittfeldt | Pruefung: Moritz Lattermann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Bundesfinanzhof (BFH)</w:t>
      </w:r>
    </w:p>
    <w:p>
      <w:pPr>
        <w:pStyle w:val="Heading3"/>
      </w:pPr>
      <w:r>
        <w:rPr>
          <w:rFonts w:ascii="Times New Roman" w:hAnsi="Times New Roman"/>
        </w:rPr>
        <w:t>Fundstelle 39 — BFH IX R 14/24</w:t>
      </w:r>
    </w:p>
    <w:p>
      <w:pPr>
        <w:jc w:val="left"/>
      </w:pPr>
      <w:r>
        <w:rPr>
          <w:b/>
        </w:rPr>
        <w:t>Entscheidung:</w:t>
      </w:r>
      <w:r>
        <w:t xml:space="preserve"> BFH, Urt. v. 17.09.2024, Az. IX R 14/24</w:t>
      </w:r>
    </w:p>
    <w:p>
      <w:pPr>
        <w:jc w:val="left"/>
      </w:pPr>
      <w:r>
        <w:rPr>
          <w:b/>
        </w:rPr>
        <w:t>Amtliche Sammlung:</w:t>
      </w:r>
      <w:r>
        <w:t xml:space="preserve"> BFHE (Aufnahme ausstehend, Druckausgabe September 2025)</w:t>
      </w:r>
    </w:p>
    <w:p>
      <w:pPr>
        <w:jc w:val="left"/>
      </w:pPr>
      <w:r>
        <w:rPr>
          <w:b/>
        </w:rPr>
        <w:t>Thema:</w:t>
      </w:r>
      <w:r>
        <w:t xml:space="preserve"> Einkommensteuer, Verauesserungsgewinn, § 23 EStG.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BFH, Urt. v. 17.09.2024, Az. IX R 14/24, DStRE 2024, 1456, abrufbar unter: https://www.bundesfinanzhof.de/de/entscheidung/entscheidungen-online/detail/STRE202410XXXXX/ (abgerufen am 01.10.2025).</w:t>
      </w:r>
    </w:p>
    <w:p>
      <w:pPr>
        <w:ind w:left="567"/>
      </w:pPr>
      <w:r>
        <w:rPr>
          <w:b/>
          <w:i/>
        </w:rPr>
        <w:t>[Prüfvermerk]</w:t>
      </w:r>
      <w:r>
        <w:rPr>
          <w:i/>
        </w:rPr>
        <w:t xml:space="preserve"> Az. IX R 14/24 wird als Ausgangspunkt verwendet; genaue Fundstelle und URL sind vor externer Verwendung nachzutragen. Die BFHE-Aufnahme ist nachzutragen.</w:t>
      </w:r>
    </w:p>
    <w:p>
      <w:pPr>
        <w:jc w:val="left"/>
      </w:pPr>
      <w:r>
        <w:rPr>
          <w:b/>
        </w:rPr>
        <w:t>Prüfvermerk:</w:t>
      </w:r>
      <w:r>
        <w:t xml:space="preserve"> Kein Prüfvermerk für Format. Hinweis: BFHE-Fundstelle nachzutragen, sobald Druckausgabe vorliegt.</w:t>
      </w:r>
    </w:p>
    <w:p>
      <w:pPr>
        <w:pStyle w:val="Heading3"/>
      </w:pPr>
      <w:r>
        <w:rPr>
          <w:rFonts w:ascii="Times New Roman" w:hAnsi="Times New Roman"/>
        </w:rPr>
        <w:t>Fundstelle 40 — BFHE 278, 100</w:t>
      </w:r>
    </w:p>
    <w:p>
      <w:pPr>
        <w:jc w:val="left"/>
      </w:pPr>
      <w:r>
        <w:rPr>
          <w:b/>
        </w:rPr>
        <w:t>Entscheidung:</w:t>
      </w:r>
      <w:r>
        <w:t xml:space="preserve"> BFH, Urt. v. 23.01.2023, Az. IX R 8/22</w:t>
      </w:r>
    </w:p>
    <w:p>
      <w:pPr>
        <w:jc w:val="left"/>
      </w:pPr>
      <w:r>
        <w:rPr>
          <w:b/>
        </w:rPr>
        <w:t>Amtliche Sammlung:</w:t>
      </w:r>
      <w:r>
        <w:t xml:space="preserve"> BFHE 278, 100; BStBl. II 2023, 456</w:t>
      </w:r>
    </w:p>
    <w:p>
      <w:pPr>
        <w:jc w:val="left"/>
      </w:pPr>
      <w:r>
        <w:rPr>
          <w:b/>
        </w:rPr>
        <w:t>Thema:</w:t>
      </w:r>
      <w:r>
        <w:t xml:space="preserve"> Verauesserungsgeschaefte, Haltefrist.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BFH, Urt. v. 23.01.2023, Az. IX R 8/22, BFHE 278, 100 (103); BStBl. II 2023, 456, abrufbar unter: https://www.bundesfinanzhof.de/de/entscheidung/entscheidungen-online/detail/STRE202310054/ (abgerufen am 01.10.2025).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BFHE 278, 100 (103).</w:t>
      </w:r>
    </w:p>
    <w:p>
      <w:pPr>
        <w:jc w:val="left"/>
      </w:pPr>
      <w:r>
        <w:rPr>
          <w:b/>
        </w:rPr>
        <w:t>Prüfvermerk:</w:t>
      </w:r>
      <w:r>
        <w:t xml:space="preserve"> Kein Prüfvermerk. Mehrfach-Fundstelle: BFHE vor BStBl. — Rangfolge korrekt.</w:t>
      </w:r>
    </w:p>
    <w:p>
      <w:pPr>
        <w:pStyle w:val="Heading3"/>
      </w:pPr>
      <w:r>
        <w:rPr>
          <w:rFonts w:ascii="Times New Roman" w:hAnsi="Times New Roman"/>
        </w:rPr>
        <w:t>Fundstelle 41 — BFH BeckRS-Sperre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BFH, Beschl. v. 14.02.2024, Az. IV B 112/23, BeckRS 2024, 8901.</w:t>
      </w:r>
    </w:p>
    <w:p>
      <w:pPr>
        <w:jc w:val="left"/>
      </w:pPr>
      <w:r>
        <w:rPr>
          <w:b/>
        </w:rPr>
        <w:t>[PRÜFVERMERK — BeckRS-SPERRE (PV-BR)]</w:t>
      </w:r>
    </w:p>
    <w:p>
      <w:pPr>
        <w:jc w:val="left"/>
      </w:pPr>
      <w:r>
        <w:t>BeckRS 2024, 8901 nicht verifizierbar. Prüfe bundesfinanzhof.de oder BStBl.-Fundstelle. Ausgabe gesperrt.</w:t>
      </w:r>
    </w:p>
    <w:p>
      <w:pPr>
        <w:pStyle w:val="Heading3"/>
      </w:pPr>
      <w:r>
        <w:rPr>
          <w:rFonts w:ascii="Times New Roman" w:hAnsi="Times New Roman"/>
        </w:rPr>
        <w:t>Fundstelle 42 — BFHE 265, 1</w:t>
      </w:r>
    </w:p>
    <w:p>
      <w:pPr>
        <w:jc w:val="left"/>
      </w:pPr>
      <w:r>
        <w:rPr>
          <w:b/>
        </w:rPr>
        <w:t>Entscheidung:</w:t>
      </w:r>
      <w:r>
        <w:t xml:space="preserve"> BFH, Urt. v. 11.07.2017, Az. VIII R 11/15</w:t>
      </w:r>
    </w:p>
    <w:p>
      <w:pPr>
        <w:jc w:val="left"/>
      </w:pPr>
      <w:r>
        <w:rPr>
          <w:b/>
        </w:rPr>
        <w:t>Amtliche Sammlung:</w:t>
      </w:r>
      <w:r>
        <w:t xml:space="preserve"> BFHE 265, 1; BStBl. II 2018, 64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BFH, Urt. v. 11.07.2017, Az. VIII R 11/15, BFHE 265, 1 (8); BStBl. II 2018, 64.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BFHE 265, 1 (8).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2"/>
      </w:pPr>
      <w:r>
        <w:rPr>
          <w:rFonts w:ascii="Times New Roman" w:hAnsi="Times New Roman"/>
        </w:rPr>
        <w:t>B. Bundesverwaltungsgericht (BVerwG)</w:t>
      </w:r>
    </w:p>
    <w:p>
      <w:pPr>
        <w:pStyle w:val="Heading3"/>
      </w:pPr>
      <w:r>
        <w:rPr>
          <w:rFonts w:ascii="Times New Roman" w:hAnsi="Times New Roman"/>
        </w:rPr>
        <w:t>Fundstelle 43 — BVerwG 4 CN 188.25</w:t>
      </w:r>
    </w:p>
    <w:p>
      <w:pPr>
        <w:jc w:val="left"/>
      </w:pPr>
      <w:r>
        <w:rPr>
          <w:b/>
        </w:rPr>
        <w:t>Hinweis:</w:t>
      </w:r>
      <w:r>
        <w:t xml:space="preserve"> Az. BVerwG 4 CN 188.25 ist wegen der Punkt-Schreibweise beim BVerwG gesondert markiert. Entscheidung, Datum und Fundstelle sind vor externer Verwendung nachzuverifizieren.</w:t>
      </w:r>
    </w:p>
    <w:p>
      <w:pPr>
        <w:jc w:val="left"/>
      </w:pPr>
      <w:r>
        <w:rPr>
          <w:b/>
        </w:rPr>
        <w:t>Langzitat (Muster):</w:t>
      </w:r>
    </w:p>
    <w:p>
      <w:pPr>
        <w:jc w:val="left"/>
      </w:pPr>
      <w:r>
        <w:t>BVerwG, Urt. v. TT.MM.2025, Az. 4 CN 188.25, NVwZ 2025, XXX, abrufbar unter: https://www.bverwg.de/entscheidungen/... (abgerufen am TT.MM.2025).</w:t>
      </w:r>
    </w:p>
    <w:p>
      <w:pPr>
        <w:jc w:val="left"/>
      </w:pPr>
      <w:r>
        <w:rPr>
          <w:b/>
        </w:rPr>
        <w:t>[PRÜFVERMERK — UNVOLLSTÄNDIGES ZITAT (PV-UV)]</w:t>
      </w:r>
    </w:p>
    <w:p>
      <w:pPr>
        <w:jc w:val="left"/>
      </w:pPr>
      <w:r>
        <w:t>Datum und Fundstelle noch nicht bekannt. Zitat unvollständig. Pruefung nach Urteilsveröffentlichung erforderlich.</w:t>
      </w:r>
    </w:p>
    <w:p>
      <w:pPr>
        <w:pStyle w:val="Heading3"/>
      </w:pPr>
      <w:r>
        <w:rPr>
          <w:rFonts w:ascii="Times New Roman" w:hAnsi="Times New Roman"/>
        </w:rPr>
        <w:t>Fundstelle 44 — BVerwGE 161, 1</w:t>
      </w:r>
    </w:p>
    <w:p>
      <w:pPr>
        <w:jc w:val="left"/>
      </w:pPr>
      <w:r>
        <w:rPr>
          <w:b/>
        </w:rPr>
        <w:t>Entscheidung:</w:t>
      </w:r>
      <w:r>
        <w:t xml:space="preserve"> BVerwG, Urt. v. 05.09.2019, Az. 2 C 17.18</w:t>
      </w:r>
    </w:p>
    <w:p>
      <w:pPr>
        <w:jc w:val="left"/>
      </w:pPr>
      <w:r>
        <w:rPr>
          <w:b/>
        </w:rPr>
        <w:t>Amtliche Sammlung:</w:t>
      </w:r>
      <w:r>
        <w:t xml:space="preserve"> BVerwGE 166, 303</w:t>
      </w:r>
    </w:p>
    <w:p>
      <w:pPr>
        <w:jc w:val="left"/>
      </w:pPr>
      <w:r>
        <w:rPr>
          <w:b/>
        </w:rPr>
        <w:t>Thema:</w:t>
      </w:r>
      <w:r>
        <w:t xml:space="preserve"> Beamtenrecht, Ruhestandsversetzung.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BVerwG, Urt. v. 05.09.2019, Az. 2 C 17.18, BVerwGE 166, 303 (Rn. 20), NVwZ-RR 2020, 97, abrufbar unter: https://www.bverwg.de/050919U2C17.18.0 (abgerufen am 01.10.2025).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BVerwGE 166, 303 (Rn. 20).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>
      <w:pPr>
        <w:pStyle w:val="Heading3"/>
      </w:pPr>
      <w:r>
        <w:rPr>
          <w:rFonts w:ascii="Times New Roman" w:hAnsi="Times New Roman"/>
        </w:rPr>
        <w:t>Fundstelle 45 — BVerwG dejure-URL-Pflicht</w:t>
      </w:r>
    </w:p>
    <w:p>
      <w:pPr>
        <w:jc w:val="left"/>
      </w:pPr>
      <w:r>
        <w:rPr>
          <w:b/>
        </w:rPr>
        <w:t>Entscheidung:</w:t>
      </w:r>
      <w:r>
        <w:t xml:space="preserve"> BVerwG, Beschl. v. 03.12.2020, Az. 8 B 56.20</w:t>
      </w:r>
    </w:p>
    <w:p>
      <w:pPr>
        <w:jc w:val="left"/>
      </w:pPr>
      <w:r>
        <w:rPr>
          <w:b/>
        </w:rPr>
        <w:t>Thema:</w:t>
      </w:r>
      <w:r>
        <w:t xml:space="preserve"> Gewerberecht.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BVerwG, Beschl. v. 03.12.2020, Az. 8 B 56.20, GewArch 2021, 144, abrufbar unter: https://dejure.org/2020,41234 (abgerufen am 01.10.2025).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2"/>
      </w:pPr>
      <w:r>
        <w:rPr>
          <w:rFonts w:ascii="Times New Roman" w:hAnsi="Times New Roman"/>
        </w:rPr>
        <w:t>C. Bundessozialgericht (BSG)</w:t>
      </w:r>
    </w:p>
    <w:p>
      <w:pPr>
        <w:pStyle w:val="Heading3"/>
      </w:pPr>
      <w:r>
        <w:rPr>
          <w:rFonts w:ascii="Times New Roman" w:hAnsi="Times New Roman"/>
        </w:rPr>
        <w:t>Fundstelle 46 — BSGE 128, 1</w:t>
      </w:r>
    </w:p>
    <w:p>
      <w:pPr>
        <w:jc w:val="left"/>
      </w:pPr>
      <w:r>
        <w:rPr>
          <w:b/>
        </w:rPr>
        <w:t>Entscheidung:</w:t>
      </w:r>
      <w:r>
        <w:t xml:space="preserve"> BSG, Urt. v. 04.04.2019, Az. B 3 KR 14/17 R</w:t>
      </w:r>
    </w:p>
    <w:p>
      <w:pPr>
        <w:jc w:val="left"/>
      </w:pPr>
      <w:r>
        <w:rPr>
          <w:b/>
        </w:rPr>
        <w:t>Amtliche Sammlung:</w:t>
      </w:r>
      <w:r>
        <w:t xml:space="preserve"> BSGE 128, 1</w:t>
      </w:r>
    </w:p>
    <w:p>
      <w:pPr>
        <w:jc w:val="left"/>
      </w:pPr>
      <w:r>
        <w:rPr>
          <w:b/>
        </w:rPr>
        <w:t>Thema:</w:t>
      </w:r>
      <w:r>
        <w:t xml:space="preserve"> Krankenversicherung, Hilfsmittelversorgung.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BSG, Urt. v. 04.04.2019, Az. B 3 KR 14/17 R, BSGE 128, 1 (Rn. 15), SGb 2019, 489, abrufbar unter: https://www.bsg.bund.de/DE/Home/home_node.html (abgerufen am 01.10.2025).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BSGE 128, 1 (Rn. 15).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>
      <w:pPr>
        <w:pStyle w:val="Heading3"/>
      </w:pPr>
      <w:r>
        <w:rPr>
          <w:rFonts w:ascii="Times New Roman" w:hAnsi="Times New Roman"/>
        </w:rPr>
        <w:t>Fundstelle 47 — BSG openjur-Quelle</w:t>
      </w:r>
    </w:p>
    <w:p>
      <w:pPr>
        <w:jc w:val="left"/>
      </w:pPr>
      <w:r>
        <w:rPr>
          <w:b/>
        </w:rPr>
        <w:t>Entscheidung:</w:t>
      </w:r>
      <w:r>
        <w:t xml:space="preserve"> BSG, Urt. v. 16.05.2019, Az. B 2 U 1/18 R</w:t>
      </w:r>
    </w:p>
    <w:p>
      <w:pPr>
        <w:jc w:val="left"/>
      </w:pPr>
      <w:r>
        <w:rPr>
          <w:b/>
        </w:rPr>
        <w:t>Thema:</w:t>
      </w:r>
      <w:r>
        <w:t xml:space="preserve"> Unfallversicherung.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BSG, Urt. v. 16.05.2019, Az. B 2 U 1/18 R, SozR 4-2700 § 8 Nr. 70, abrufbar unter: https://openjur.de/u/2231234.html (abgerufen am 01.10.2025).</w:t>
      </w:r>
    </w:p>
    <w:p>
      <w:pPr>
        <w:jc w:val="left"/>
      </w:pPr>
      <w:r>
        <w:rPr>
          <w:b/>
        </w:rPr>
        <w:t>Prüfvermerk:</w:t>
      </w:r>
      <w:r>
        <w:t xml:space="preserve"> Kein Prüfvermerk.</w:t>
      </w:r>
    </w:p>
    <w:p/>
    <w:p>
      <w:pPr>
        <w:pStyle w:val="Heading2"/>
      </w:pPr>
      <w:r>
        <w:rPr>
          <w:rFonts w:ascii="Times New Roman" w:hAnsi="Times New Roman"/>
        </w:rPr>
        <w:t>D. Bundesarbeitsgericht (BAG)</w:t>
      </w:r>
    </w:p>
    <w:p>
      <w:pPr>
        <w:pStyle w:val="Heading3"/>
      </w:pPr>
      <w:r>
        <w:rPr>
          <w:rFonts w:ascii="Times New Roman" w:hAnsi="Times New Roman"/>
        </w:rPr>
        <w:t>Fundstelle 48 — BAG 2 AZR 184/23</w:t>
      </w:r>
    </w:p>
    <w:p>
      <w:pPr>
        <w:jc w:val="left"/>
      </w:pPr>
      <w:r>
        <w:rPr>
          <w:b/>
        </w:rPr>
        <w:t>Entscheidung:</w:t>
      </w:r>
      <w:r>
        <w:t xml:space="preserve"> BAG, Urt. v. 20.03.2024, Az. 2 AZR 184/23</w:t>
      </w:r>
    </w:p>
    <w:p>
      <w:pPr>
        <w:jc w:val="left"/>
      </w:pPr>
      <w:r>
        <w:rPr>
          <w:b/>
        </w:rPr>
        <w:t>Amtliche Sammlung:</w:t>
      </w:r>
      <w:r>
        <w:t xml:space="preserve"> BAGE (Aufnahme erwartet)</w:t>
      </w:r>
    </w:p>
    <w:p>
      <w:pPr>
        <w:jc w:val="left"/>
      </w:pPr>
      <w:r>
        <w:rPr>
          <w:b/>
        </w:rPr>
        <w:t>Thema:</w:t>
      </w:r>
      <w:r>
        <w:t xml:space="preserve"> Kündigungsschutz, Sozialauswahl.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BAG, Urt. v. 20.03.2024, Az. 2 AZR 184/23, NZA 2024, 893 (897), abrufbar unter: https://www.bundesarbeitsgericht.de/entscheidung/az-2-azr-184-23/ (abgerufen am 01.10.2025).</w:t>
      </w:r>
    </w:p>
    <w:p>
      <w:pPr>
        <w:ind w:left="567"/>
      </w:pPr>
      <w:r>
        <w:rPr>
          <w:b/>
          <w:i/>
        </w:rPr>
        <w:t>[Prüfvermerk]</w:t>
      </w:r>
      <w:r>
        <w:rPr>
          <w:i/>
        </w:rPr>
        <w:t xml:space="preserve"> Az. 2 AZR 184/23 ist für ein neues BAGE-Zitat ohne Bandaufnahme markiert.</w:t>
      </w:r>
    </w:p>
    <w:p>
      <w:pPr>
        <w:jc w:val="left"/>
      </w:pPr>
      <w:r>
        <w:rPr>
          <w:b/>
        </w:rPr>
        <w:t>Prüfvermerk:</w:t>
      </w:r>
      <w:r>
        <w:t xml:space="preserve"> Kein Prüfvermerk für Format. BAGE-Fundstelle nachzutragen.</w:t>
      </w:r>
    </w:p>
    <w:p>
      <w:pPr>
        <w:pStyle w:val="Heading3"/>
      </w:pPr>
      <w:r>
        <w:rPr>
          <w:rFonts w:ascii="Times New Roman" w:hAnsi="Times New Roman"/>
        </w:rPr>
        <w:t>Fundstelle 49 — BAGE 172, 111</w:t>
      </w:r>
    </w:p>
    <w:p>
      <w:pPr>
        <w:jc w:val="left"/>
      </w:pPr>
      <w:r>
        <w:rPr>
          <w:b/>
        </w:rPr>
        <w:t>Entscheidung:</w:t>
      </w:r>
      <w:r>
        <w:t xml:space="preserve"> BAG, Urt. v. 27.01.2022, Az. 8 AZR 280/20</w:t>
      </w:r>
    </w:p>
    <w:p>
      <w:pPr>
        <w:jc w:val="left"/>
      </w:pPr>
      <w:r>
        <w:rPr>
          <w:b/>
        </w:rPr>
        <w:t>Amtliche Sammlung:</w:t>
      </w:r>
      <w:r>
        <w:t xml:space="preserve"> BAGE 172, 111</w:t>
      </w:r>
    </w:p>
    <w:p>
      <w:pPr>
        <w:jc w:val="left"/>
      </w:pPr>
      <w:r>
        <w:rPr>
          <w:b/>
        </w:rPr>
        <w:t>Thema:</w:t>
      </w:r>
      <w:r>
        <w:t xml:space="preserve"> AGG, Diskriminierung.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BAG, Urt. v. 27.01.2022, Az. 8 AZR 280/20, BAGE 172, 111 (Rn. 28), NZA 2022, 841 (843), abrufbar unter: https://dejure.org/2022,6002 (abgerufen am 01.10.2025).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BAGE 172, 111 (Rn. 28).</w:t>
      </w:r>
    </w:p>
    <w:p>
      <w:pPr>
        <w:jc w:val="left"/>
      </w:pPr>
      <w:r>
        <w:rPr>
          <w:b/>
        </w:rPr>
        <w:t>Prüfvermerk:</w:t>
      </w:r>
      <w:r>
        <w:t xml:space="preserve"> Kein Prüfvermerk. Mehrfach-Fundstelle: BAGE vor NZA — Rangfolge korrekt.</w:t>
      </w:r>
    </w:p>
    <w:p>
      <w:pPr>
        <w:pStyle w:val="Heading3"/>
      </w:pPr>
      <w:r>
        <w:rPr>
          <w:rFonts w:ascii="Times New Roman" w:hAnsi="Times New Roman"/>
        </w:rPr>
        <w:t>Fundstelle 50 — BAG fehlende Pflichtangabe (PV-UV)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BAG, Beschl. v. 09.12.2020, NZA 2021, 244.</w:t>
      </w:r>
    </w:p>
    <w:p>
      <w:pPr>
        <w:jc w:val="left"/>
      </w:pPr>
      <w:r>
        <w:rPr>
          <w:b/>
        </w:rPr>
        <w:t>[PRÜFVERMERK — UNVOLLSTÄNDIGES ZITAT (PV-UV)]</w:t>
      </w:r>
    </w:p>
    <w:p>
      <w:pPr>
        <w:jc w:val="left"/>
      </w:pPr>
      <w:r>
        <w:t>Aktenzeichen fehlt. Mindeststandard nicht erfüllt. Bitte erganzen: Az. 7 ABR 26/19.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BAG, Beschl. v. 09.12.2020, Az. 7 ABR 26/19, NZA 2021, 244, abrufbar unter: https://dejure.org/2020,42001 (abgerufen am 01.10.2025).</w:t>
      </w:r>
    </w:p>
    <w:p/>
    <w:p>
      <w:pPr>
        <w:jc w:val="left"/>
      </w:pPr>
      <w:r>
        <w:rPr>
          <w:i/>
        </w:rPr>
        <w:t>Pruefkorpus-Abschnitt BFH/BVerwG/BSG/BAG: 12 Fundstellen geprüft (Nr. 39–50). Prüfvermerke: 3 (PV-BR Nr. 41, PV-UV Nr. 43 und Nr. 50).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