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Literatur: Aufsätze und Modellwissen-Sperre</w:t>
      </w:r>
    </w:p>
    <w:p>
      <w:pPr>
        <w:jc w:val="left"/>
      </w:pPr>
      <w:r>
        <w:rPr>
          <w:b/>
        </w:rPr>
        <w:t>Pruefkorpus-Abschnitt: Aufsätze</w:t>
      </w:r>
    </w:p>
    <w:p>
      <w:pPr>
        <w:jc w:val="left"/>
      </w:pPr>
      <w:r>
        <w:rPr>
          <w:b/>
        </w:rPr>
        <w:t>Bearbeiterin: Dr. Sophia Pohlmann-Wittfeldt</w:t>
      </w:r>
    </w:p>
    <w:p>
      <w:pPr>
        <w:jc w:val="left"/>
      </w:pPr>
      <w:r>
        <w:rPr>
          <w:b/>
        </w:rPr>
        <w:t>Stand: Oktober 2025</w:t>
      </w:r>
    </w:p>
    <w:p/>
    <w:p>
      <w:pPr>
        <w:pStyle w:val="Heading2"/>
      </w:pPr>
      <w:r>
        <w:rPr>
          <w:rFonts w:ascii="Times New Roman" w:hAnsi="Times New Roman"/>
        </w:rPr>
        <w:t>Vorbemerkung</w:t>
      </w:r>
    </w:p>
    <w:p>
      <w:pPr>
        <w:jc w:val="left"/>
      </w:pPr>
      <w:r>
        <w:t xml:space="preserve">Aufsätze stellen besondere Anforderungen an die Verifikation, da Zeitschriften-Volltexte häufig lizenzpflichtig sind. Das Plugin </w:t>
      </w:r>
      <w:r>
        <w:t>zitierweise-deutsches-recht</w:t>
      </w:r>
      <w:r>
        <w:t xml:space="preserve"> gibt bei Aufsätzen, die nur auf Modellwissen beruhen und nicht verifizierbar sind, einen Prüfvermerk (PV-LM) aus statt eines Halluzinations-Zitats. Dieser Abschnitt enthält Fundstellen 73–82.</w:t>
      </w:r>
    </w:p>
    <w:p/>
    <w:p>
      <w:pPr>
        <w:pStyle w:val="Heading2"/>
      </w:pPr>
      <w:r>
        <w:rPr>
          <w:rFonts w:ascii="Times New Roman" w:hAnsi="Times New Roman"/>
        </w:rPr>
        <w:t>Fundstelle 73 — Aufsatz Tannenmoor JZ 2024 (Modellwissen-Sperre)</w:t>
      </w:r>
    </w:p>
    <w:p>
      <w:pPr>
        <w:jc w:val="left"/>
      </w:pPr>
      <w:r>
        <w:rPr>
          <w:b/>
        </w:rPr>
        <w:t>Situation:</w:t>
      </w:r>
      <w:r>
        <w:t xml:space="preserve"> Mitarbeiter bittet Plugin um Zitat des Aufsatzes von Tannenmoor über anwaltliche Zitierweise in JZ 2024.</w:t>
      </w:r>
    </w:p>
    <w:p>
      <w:pPr>
        <w:jc w:val="left"/>
      </w:pPr>
      <w:r>
        <w:rPr>
          <w:b/>
        </w:rPr>
        <w:t>Plugin-Ausgabe:</w:t>
      </w:r>
    </w:p>
    <w:p>
      <w:pPr>
        <w:ind w:left="567"/>
      </w:pPr>
      <w:r>
        <w:rPr>
          <w:b/>
          <w:i/>
        </w:rPr>
        <w:t>[PRÜFVERMERK — LITERATUR-MODELLWISSEN-SPERRE (PV-LM)]</w:t>
      </w:r>
    </w:p>
    <w:p>
      <w:pPr>
        <w:ind w:left="567"/>
      </w:pPr>
      <w:r>
        <w:rPr>
          <w:i/>
        </w:rPr>
        <w:t>Der Aufsatz Tannenmoor, Neue Anforderungen an die anwaltliche Zitierweise, JZ 2024, konnte nicht verifiziert werden. Das Plugin verfügt nicht über einen verifizierten Direktzugriff auf JZ 2024, Heft und Seitenzahl sind unbekannt. Die Ausgabe eines Zitats würde auf reinem Modellwissen beruhen und könnte halluziniert sein.</w:t>
      </w:r>
    </w:p>
    <w:p>
      <w:pPr>
        <w:ind w:left="567"/>
      </w:pPr>
    </w:p>
    <w:p>
      <w:pPr>
        <w:ind w:left="567"/>
      </w:pPr>
      <w:r>
        <w:rPr>
          <w:b/>
          <w:i/>
        </w:rPr>
        <w:t>Empfehlung:</w:t>
      </w:r>
      <w:r>
        <w:rPr>
          <w:i/>
        </w:rPr>
        <w:t xml:space="preserve"> Bitte Volltextzugang über beck-online, juris oder Bibliothek prüfen und Zitat manuell erganzen. Muster-Zitat (unverifiziert — bitte nicht unverändert verwenden):</w:t>
      </w:r>
    </w:p>
    <w:p>
      <w:pPr>
        <w:ind w:left="567"/>
      </w:pPr>
      <w:r>
        <w:rPr>
          <w:i/>
        </w:rPr>
        <w:t>Tannenmoor, [Titel des Aufsatzes], JZ 2024, [Seite] ([Zitierseite]).</w:t>
      </w:r>
    </w:p>
    <w:p>
      <w:pPr>
        <w:jc w:val="left"/>
      </w:pPr>
      <w:r>
        <w:rPr>
          <w:b/>
        </w:rPr>
        <w:t>Prüfvermerk Typ:</w:t>
      </w:r>
      <w:r>
        <w:t xml:space="preserve"> PV-LM (Literatur-Modellwissen-Sperre)</w:t>
      </w:r>
    </w:p>
    <w:p>
      <w:pPr>
        <w:jc w:val="left"/>
      </w:pPr>
      <w:r>
        <w:rPr>
          <w:b/>
        </w:rPr>
        <w:t>Fehlerrisiko ohne Sperre:</w:t>
      </w:r>
      <w:r>
        <w:t xml:space="preserve"> Halluzinierter Aufsatz (nicht existentes Werk); anwaltliche Haftungsrisiken.</w:t>
      </w:r>
    </w:p>
    <w:p/>
    <w:p>
      <w:pPr>
        <w:pStyle w:val="Heading2"/>
      </w:pPr>
      <w:r>
        <w:rPr>
          <w:rFonts w:ascii="Times New Roman" w:hAnsi="Times New Roman"/>
        </w:rPr>
        <w:t>Fundstelle 74 — Aufsatz verifizierbar (NJW 2023)</w:t>
      </w:r>
    </w:p>
    <w:p>
      <w:pPr>
        <w:jc w:val="left"/>
      </w:pPr>
      <w:r>
        <w:rPr>
          <w:b/>
        </w:rPr>
        <w:t>Zitat:</w:t>
      </w:r>
    </w:p>
    <w:p>
      <w:pPr>
        <w:jc w:val="left"/>
      </w:pPr>
      <w:r>
        <w:t>Riehm, Schadensersatz statt Leistung und Rücktritt, NJW 2023, 1456 (1459).</w:t>
      </w:r>
    </w:p>
    <w:p>
      <w:pPr>
        <w:jc w:val="left"/>
      </w:pPr>
      <w:r>
        <w:rPr>
          <w:b/>
        </w:rPr>
        <w:t>Prüfvermerk:</w:t>
      </w:r>
      <w:r>
        <w:t xml:space="preserve"> Kein Prüfvermerk. NJW-Aufsätze sind über dejure.org referenziert und das Zitat kann strukturell geprüft werden. Volltextzugriff empfohlen.</w:t>
      </w:r>
    </w:p>
    <w:p/>
    <w:p>
      <w:pPr>
        <w:pStyle w:val="Heading2"/>
      </w:pPr>
      <w:r>
        <w:rPr>
          <w:rFonts w:ascii="Times New Roman" w:hAnsi="Times New Roman"/>
        </w:rPr>
        <w:t>Fundstelle 75 — Aufsatz JuS (historisch, verifizierbar)</w:t>
      </w:r>
    </w:p>
    <w:p>
      <w:pPr>
        <w:jc w:val="left"/>
      </w:pPr>
      <w:r>
        <w:rPr>
          <w:b/>
        </w:rPr>
        <w:t>Zitat:</w:t>
      </w:r>
    </w:p>
    <w:p>
      <w:pPr>
        <w:jc w:val="left"/>
      </w:pPr>
      <w:r>
        <w:t>Medicus, Probleme der Willenserklarung, JuS 1965, 209 (211).</w:t>
      </w:r>
    </w:p>
    <w:p>
      <w:pPr>
        <w:jc w:val="left"/>
      </w:pPr>
      <w:r>
        <w:rPr>
          <w:b/>
        </w:rPr>
        <w:t>Prüfvermerk:</w:t>
      </w:r>
      <w:r>
        <w:t xml:space="preserve"> Kein Prüfvermerk. Historischer Aufsatz; keine Online-URL verfügbar, aber verifizierbar über Bibliotheksbestand.</w:t>
      </w:r>
    </w:p>
    <w:p/>
    <w:p>
      <w:pPr>
        <w:pStyle w:val="Heading2"/>
      </w:pPr>
      <w:r>
        <w:rPr>
          <w:rFonts w:ascii="Times New Roman" w:hAnsi="Times New Roman"/>
        </w:rPr>
        <w:t>Fundstelle 76 — Aufsatz NZA (aktuell)</w:t>
      </w:r>
    </w:p>
    <w:p>
      <w:pPr>
        <w:jc w:val="left"/>
      </w:pPr>
      <w:r>
        <w:rPr>
          <w:b/>
        </w:rPr>
        <w:t>Zitat:</w:t>
      </w:r>
    </w:p>
    <w:p>
      <w:pPr>
        <w:jc w:val="left"/>
      </w:pPr>
      <w:r>
        <w:t>Rolfs, Massenentlassung und europarechtliche Vorgaben, NZA 2023, 713 (715), abrufbar unter: https://dejure.org/literatur/nza-2023-713 (abgerufen am 01.10.2025).</w:t>
      </w:r>
    </w:p>
    <w:p>
      <w:pPr>
        <w:jc w:val="left"/>
      </w:pPr>
      <w:r>
        <w:rPr>
          <w:b/>
        </w:rPr>
        <w:t>Prüfvermerk:</w:t>
      </w:r>
      <w:r>
        <w:t xml:space="preserve"> Kein Prüfvermerk. URL auf dejure.org-Literaturverweis vorhanden (Nachweis-Link, kein Volltext).</w:t>
      </w:r>
    </w:p>
    <w:p/>
    <w:p>
      <w:pPr>
        <w:pStyle w:val="Heading2"/>
      </w:pPr>
      <w:r>
        <w:rPr>
          <w:rFonts w:ascii="Times New Roman" w:hAnsi="Times New Roman"/>
        </w:rPr>
        <w:t>Fundstelle 77 — Aufsatz mit unbekannter Zeitschrift (PV-LM)</w:t>
      </w:r>
    </w:p>
    <w:p>
      <w:pPr>
        <w:jc w:val="left"/>
      </w:pPr>
      <w:r>
        <w:rPr>
          <w:b/>
        </w:rPr>
        <w:t>Anfrage:</w:t>
      </w:r>
      <w:r>
        <w:t xml:space="preserve"> Aufsatz Muller-Rosenkampf, Haftungsrecht im digitalen Wandel, ZdigR 2024.</w:t>
      </w:r>
    </w:p>
    <w:p>
      <w:pPr>
        <w:jc w:val="left"/>
      </w:pPr>
      <w:r>
        <w:rPr>
          <w:b/>
        </w:rPr>
        <w:t>[PRÜFVERMERK — LITERATUR-MODELLWISSEN-SPERRE (PV-LM)]</w:t>
      </w:r>
    </w:p>
    <w:p>
      <w:pPr>
        <w:jc w:val="left"/>
      </w:pPr>
      <w:r>
        <w:t>Die Zeitschrift ZdigR (Zeitschrift für digitales Recht) und der Aufsatz Muller-Rosenkampf konnten nicht verifiziert werden. Das Plugin gibt keine nicht-verifizierten Zeitschriftenzitate aus.</w:t>
      </w:r>
    </w:p>
    <w:p/>
    <w:p>
      <w:pPr>
        <w:pStyle w:val="Heading2"/>
      </w:pPr>
      <w:r>
        <w:rPr>
          <w:rFonts w:ascii="Times New Roman" w:hAnsi="Times New Roman"/>
        </w:rPr>
        <w:t>Fundstelle 78 — Aufsatz AcP</w:t>
      </w:r>
    </w:p>
    <w:p>
      <w:pPr>
        <w:jc w:val="left"/>
      </w:pPr>
      <w:r>
        <w:rPr>
          <w:b/>
        </w:rPr>
        <w:t>Zitat:</w:t>
      </w:r>
    </w:p>
    <w:p>
      <w:pPr>
        <w:jc w:val="left"/>
      </w:pPr>
      <w:r>
        <w:t>Canaris, Die Vertrauenshaftung im deutschen Privatrecht, AcP 200 (2000), 273 (289 f.).</w:t>
      </w:r>
    </w:p>
    <w:p>
      <w:pPr>
        <w:jc w:val="left"/>
      </w:pPr>
      <w:r>
        <w:rPr>
          <w:b/>
        </w:rPr>
        <w:t>Prüfvermerk:</w:t>
      </w:r>
      <w:r>
        <w:t xml:space="preserve"> Kein Prüfvermerk. Klassischer Aufsatz, verifizierbar.</w:t>
      </w:r>
    </w:p>
    <w:p/>
    <w:p>
      <w:pPr>
        <w:pStyle w:val="Heading2"/>
      </w:pPr>
      <w:r>
        <w:rPr>
          <w:rFonts w:ascii="Times New Roman" w:hAnsi="Times New Roman"/>
        </w:rPr>
        <w:t>Fundstelle 79 — Aufsatz ZHR</w:t>
      </w:r>
    </w:p>
    <w:p>
      <w:pPr>
        <w:jc w:val="left"/>
      </w:pPr>
      <w:r>
        <w:rPr>
          <w:b/>
        </w:rPr>
        <w:t>Zitat:</w:t>
      </w:r>
    </w:p>
    <w:p>
      <w:pPr>
        <w:jc w:val="left"/>
      </w:pPr>
      <w:r>
        <w:t>Fleischer, Informationsasymmetrie im Vertragsrecht, ZHR 185 (2021), 1 (18 ff.).</w:t>
      </w:r>
    </w:p>
    <w:p>
      <w:pPr>
        <w:jc w:val="left"/>
      </w:pPr>
      <w:r>
        <w:rPr>
          <w:b/>
        </w:rPr>
        <w:t>Prüfvermerk:</w:t>
      </w:r>
      <w:r>
        <w:t xml:space="preserve"> Kein Prüfvermerk.</w:t>
      </w:r>
    </w:p>
    <w:p/>
    <w:p>
      <w:pPr>
        <w:pStyle w:val="Heading2"/>
      </w:pPr>
      <w:r>
        <w:rPr>
          <w:rFonts w:ascii="Times New Roman" w:hAnsi="Times New Roman"/>
        </w:rPr>
        <w:t>Fundstelle 80 — Aufsatz FamRZ</w:t>
      </w:r>
    </w:p>
    <w:p>
      <w:pPr>
        <w:jc w:val="left"/>
      </w:pPr>
      <w:r>
        <w:rPr>
          <w:b/>
        </w:rPr>
        <w:t>Zitat:</w:t>
      </w:r>
    </w:p>
    <w:p>
      <w:pPr>
        <w:jc w:val="left"/>
      </w:pPr>
      <w:r>
        <w:t>Buehler, Wechselmodell und Kindesunterhalt, FamRZ 2022, 481 (484).</w:t>
      </w:r>
    </w:p>
    <w:p>
      <w:pPr>
        <w:jc w:val="left"/>
      </w:pPr>
      <w:r>
        <w:rPr>
          <w:b/>
        </w:rPr>
        <w:t>Prüfvermerk:</w:t>
      </w:r>
      <w:r>
        <w:t xml:space="preserve"> Kein Prüfvermerk.</w:t>
      </w:r>
    </w:p>
    <w:p/>
    <w:p>
      <w:pPr>
        <w:pStyle w:val="Heading2"/>
      </w:pPr>
      <w:r>
        <w:rPr>
          <w:rFonts w:ascii="Times New Roman" w:hAnsi="Times New Roman"/>
        </w:rPr>
        <w:t>Fundstelle 81 — Aufsatz Internetquelle ohne Zeitschrift (PV-LM)</w:t>
      </w:r>
    </w:p>
    <w:p>
      <w:pPr>
        <w:jc w:val="left"/>
      </w:pPr>
      <w:r>
        <w:rPr>
          <w:b/>
        </w:rPr>
        <w:t>Anfrage:</w:t>
      </w:r>
      <w:r>
        <w:t xml:space="preserve"> Aufsatz Bergmann-Haardt, Zitierweise im Internetzeitalter, Anwaltsblatt-Blog 2023.</w:t>
      </w:r>
    </w:p>
    <w:p>
      <w:pPr>
        <w:jc w:val="left"/>
      </w:pPr>
      <w:r>
        <w:rPr>
          <w:b/>
        </w:rPr>
        <w:t>[PRÜFVERMERK — LITERATUR-MODELLWISSEN-SPERRE (PV-LM)]</w:t>
      </w:r>
    </w:p>
    <w:p>
      <w:pPr>
        <w:jc w:val="left"/>
      </w:pPr>
      <w:r>
        <w:t>Blog-Artikel können nicht wie Zeitschriftenaufsaetze zitiert werden. Das Plugin verifiziert Blog-Quellen nicht. Bitte URL angeben und als Online-Quelle kennzeichnen. Muster:</w:t>
      </w:r>
    </w:p>
    <w:p>
      <w:pPr>
        <w:jc w:val="left"/>
      </w:pPr>
      <w:r>
        <w:t>Bergmann-Haardt, Zitierweise im Internetzeitalter, Anwaltsblatt-Blog vom TT.MM.2023, abrufbar unter: [URL] (abgerufen am TT.MM.JJJJ).</w:t>
      </w:r>
    </w:p>
    <w:p/>
    <w:p>
      <w:pPr>
        <w:pStyle w:val="Heading2"/>
      </w:pPr>
      <w:r>
        <w:rPr>
          <w:rFonts w:ascii="Times New Roman" w:hAnsi="Times New Roman"/>
        </w:rPr>
        <w:t>Fundstelle 82 — Aufsatz Festschrift</w:t>
      </w:r>
    </w:p>
    <w:p>
      <w:pPr>
        <w:jc w:val="left"/>
      </w:pPr>
      <w:r>
        <w:rPr>
          <w:b/>
        </w:rPr>
        <w:t>Zitat:</w:t>
      </w:r>
    </w:p>
    <w:p>
      <w:pPr>
        <w:jc w:val="left"/>
      </w:pPr>
      <w:r>
        <w:t>Hopt, Schranken der Geschäftsführerbefugnis, in: Hoffmann-Becking (Hrsg.), Festschrift für Marcus Lutter, 2000, S. 1361 (1375 f.).</w:t>
      </w:r>
    </w:p>
    <w:p>
      <w:pPr>
        <w:jc w:val="left"/>
      </w:pPr>
      <w:r>
        <w:rPr>
          <w:b/>
        </w:rPr>
        <w:t>Prüfvermerk:</w:t>
      </w:r>
      <w:r>
        <w:t xml:space="preserve"> Kein Prüfvermerk.</w:t>
      </w:r>
    </w:p>
    <w:p/>
    <w:p>
      <w:pPr>
        <w:pStyle w:val="Heading2"/>
      </w:pPr>
      <w:r>
        <w:rPr>
          <w:rFonts w:ascii="Times New Roman" w:hAnsi="Times New Roman"/>
        </w:rPr>
        <w:t>Zusammenfassung Aufsätze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Fundstelle</w:t>
            </w:r>
          </w:p>
        </w:tc>
        <w:tc>
          <w:tcPr>
            <w:tcW w:type="dxa" w:w="3024"/>
          </w:tcPr>
          <w:p>
            <w:r>
              <w:rPr>
                <w:rFonts w:ascii="Times New Roman" w:hAnsi="Times New Roman"/>
                <w:b/>
                <w:sz w:val="20"/>
              </w:rPr>
              <w:t>Typ</w:t>
            </w:r>
          </w:p>
        </w:tc>
        <w:tc>
          <w:tcPr>
            <w:tcW w:type="dxa" w:w="3024"/>
          </w:tcPr>
          <w:p>
            <w:r>
              <w:rPr>
                <w:rFonts w:ascii="Times New Roman" w:hAnsi="Times New Roman"/>
                <w:b/>
                <w:sz w:val="20"/>
              </w:rPr>
              <w:t>Prüfvermerk</w:t>
            </w:r>
          </w:p>
        </w:tc>
      </w:tr>
      <w:tr>
        <w:tc>
          <w:tcPr>
            <w:tcW w:type="dxa" w:w="3024"/>
          </w:tcPr>
          <w:p>
            <w:r>
              <w:rPr>
                <w:rFonts w:ascii="Times New Roman" w:hAnsi="Times New Roman"/>
                <w:sz w:val="20"/>
              </w:rPr>
              <w:t>73</w:t>
            </w:r>
          </w:p>
        </w:tc>
        <w:tc>
          <w:tcPr>
            <w:tcW w:type="dxa" w:w="3024"/>
          </w:tcPr>
          <w:p>
            <w:r>
              <w:rPr>
                <w:rFonts w:ascii="Times New Roman" w:hAnsi="Times New Roman"/>
                <w:sz w:val="20"/>
              </w:rPr>
              <w:t>Tannenmoor JZ 2024 — unverifizierbar</w:t>
            </w:r>
          </w:p>
        </w:tc>
        <w:tc>
          <w:tcPr>
            <w:tcW w:type="dxa" w:w="3024"/>
          </w:tcPr>
          <w:p>
            <w:r>
              <w:rPr>
                <w:rFonts w:ascii="Times New Roman" w:hAnsi="Times New Roman"/>
                <w:sz w:val="20"/>
              </w:rPr>
              <w:t>PV-LM</w:t>
            </w:r>
          </w:p>
        </w:tc>
      </w:tr>
      <w:tr>
        <w:tc>
          <w:tcPr>
            <w:tcW w:type="dxa" w:w="3024"/>
          </w:tcPr>
          <w:p>
            <w:r>
              <w:rPr>
                <w:rFonts w:ascii="Times New Roman" w:hAnsi="Times New Roman"/>
                <w:sz w:val="20"/>
              </w:rPr>
              <w:t>77</w:t>
            </w:r>
          </w:p>
        </w:tc>
        <w:tc>
          <w:tcPr>
            <w:tcW w:type="dxa" w:w="3024"/>
          </w:tcPr>
          <w:p>
            <w:r>
              <w:rPr>
                <w:rFonts w:ascii="Times New Roman" w:hAnsi="Times New Roman"/>
                <w:sz w:val="20"/>
              </w:rPr>
              <w:t>ZdigR 2024 — unbekannte Zeitschrift</w:t>
            </w:r>
          </w:p>
        </w:tc>
        <w:tc>
          <w:tcPr>
            <w:tcW w:type="dxa" w:w="3024"/>
          </w:tcPr>
          <w:p>
            <w:r>
              <w:rPr>
                <w:rFonts w:ascii="Times New Roman" w:hAnsi="Times New Roman"/>
                <w:sz w:val="20"/>
              </w:rPr>
              <w:t>PV-LM</w:t>
            </w:r>
          </w:p>
        </w:tc>
      </w:tr>
      <w:tr>
        <w:tc>
          <w:tcPr>
            <w:tcW w:type="dxa" w:w="3024"/>
          </w:tcPr>
          <w:p>
            <w:r>
              <w:rPr>
                <w:rFonts w:ascii="Times New Roman" w:hAnsi="Times New Roman"/>
                <w:sz w:val="20"/>
              </w:rPr>
              <w:t>81</w:t>
            </w:r>
          </w:p>
        </w:tc>
        <w:tc>
          <w:tcPr>
            <w:tcW w:type="dxa" w:w="3024"/>
          </w:tcPr>
          <w:p>
            <w:r>
              <w:rPr>
                <w:rFonts w:ascii="Times New Roman" w:hAnsi="Times New Roman"/>
                <w:sz w:val="20"/>
              </w:rPr>
              <w:t>Blog-Artikel — kein Zeitschriftenformat</w:t>
            </w:r>
          </w:p>
        </w:tc>
        <w:tc>
          <w:tcPr>
            <w:tcW w:type="dxa" w:w="3024"/>
          </w:tcPr>
          <w:p>
            <w:r>
              <w:rPr>
                <w:rFonts w:ascii="Times New Roman" w:hAnsi="Times New Roman"/>
                <w:sz w:val="20"/>
              </w:rPr>
              <w:t>PV-LM</w:t>
            </w:r>
          </w:p>
        </w:tc>
      </w:tr>
    </w:tbl>
    <w:p>
      <w:pPr>
        <w:jc w:val="left"/>
      </w:pPr>
      <w:r>
        <w:rPr>
          <w:b/>
        </w:rPr>
        <w:t>Gesamtbewertung:</w:t>
      </w:r>
      <w:r>
        <w:t xml:space="preserve"> 10 Fundstellen (Nr. 73–82). 3 Sperr-Vermerke PV-LM.</w:t>
      </w:r>
    </w:p>
    <w:p/>
    <w:p>
      <w:pPr>
        <w:jc w:val="left"/>
      </w:pPr>
      <w:r>
        <w:rPr>
          <w:i/>
        </w:rPr>
        <w:t>Pruefkorpus-Abschnitt Aufsätze: Fundstellen 73–82. Stand: Oktober 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