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08 — BeckRS-Sperre: Fälle und Lösungen</w:t>
      </w:r>
    </w:p>
    <w:p>
      <w:pPr>
        <w:jc w:val="left"/>
      </w:pPr>
      <w:r>
        <w:rPr>
          <w:b/>
        </w:rPr>
        <w:t>Pruefkorpus-Abschnitt: BeckRS-Sperre</w:t>
      </w:r>
    </w:p>
    <w:p>
      <w:pPr>
        <w:jc w:val="left"/>
      </w:pPr>
      <w:r>
        <w:rPr>
          <w:b/>
        </w:rPr>
        <w:t>Bearbeiterin: Dr. Sophia Pohlmann-Wittfeldt | Knowledge: Moritz Lattermann</w:t>
      </w:r>
    </w:p>
    <w:p>
      <w:pPr>
        <w:jc w:val="left"/>
      </w:pPr>
      <w:r>
        <w:rPr>
          <w:b/>
        </w:rPr>
        <w:t>Stand: Oktober 2025</w:t>
      </w:r>
    </w:p>
    <w:p/>
    <w:p>
      <w:pPr>
        <w:pStyle w:val="Heading2"/>
      </w:pPr>
      <w:r>
        <w:rPr>
          <w:rFonts w:ascii="Times New Roman" w:hAnsi="Times New Roman"/>
        </w:rPr>
        <w:t>Vorbemerkung</w:t>
      </w:r>
    </w:p>
    <w:p>
      <w:pPr>
        <w:jc w:val="left"/>
      </w:pPr>
      <w:r>
        <w:t xml:space="preserve">BeckRS (Beck-Rechtsprechungssammlung) ist eine lizenzpflichtige Datenbank von Beck-Online. Das Plugin </w:t>
      </w:r>
      <w:r>
        <w:t>zitierweise-deutsches-recht</w:t>
      </w:r>
      <w:r>
        <w:t xml:space="preserve"> gibt BeckRS-Fundstellen nur aus, wenn ein aktiver und nachgewiesener Lizenzzugang besteht. Fehlt dieser, erscheint ein PV-BR-Vermerk mit Alternativsuche. Dieser Abschnitt dokumentiert alle BeckRS-Sperre-Fälle des Pruefkorpus und ihre Lösungen.</w:t>
      </w:r>
    </w:p>
    <w:p/>
    <w:p>
      <w:pPr>
        <w:pStyle w:val="Heading2"/>
      </w:pPr>
      <w:r>
        <w:rPr>
          <w:rFonts w:ascii="Times New Roman" w:hAnsi="Times New Roman"/>
        </w:rPr>
        <w:t>Fall 1 — BeckRS allein, amtliche Alternative verfügbar</w:t>
      </w:r>
    </w:p>
    <w:p>
      <w:pPr>
        <w:jc w:val="left"/>
      </w:pPr>
      <w:r>
        <w:rPr>
          <w:b/>
        </w:rPr>
        <w:t>Ausgangssituation:</w:t>
      </w:r>
    </w:p>
    <w:p>
      <w:pPr>
        <w:jc w:val="left"/>
      </w:pPr>
      <w:r>
        <w:t>Mitarbeiter reicht Entwurf ein:</w:t>
      </w:r>
    </w:p>
    <w:p>
      <w:pPr>
        <w:jc w:val="left"/>
      </w:pPr>
      <w:r>
        <w:t>BGH, Urt. v. 21.04.2022, Az. IX ZR 234/21, BeckRS 2022, 12345.</w:t>
      </w:r>
    </w:p>
    <w:p>
      <w:pPr>
        <w:jc w:val="left"/>
      </w:pPr>
      <w:r>
        <w:rPr>
          <w:b/>
        </w:rPr>
        <w:t>[PRÜFVERMERK — BeckRS-SPERRE (PV-BR)]</w:t>
      </w:r>
    </w:p>
    <w:p>
      <w:pPr>
        <w:jc w:val="left"/>
      </w:pPr>
      <w:r>
        <w:t>BeckRS 2022, 12345 ohne verifizierten Lizenzzugang gesperrt.</w:t>
      </w:r>
    </w:p>
    <w:p>
      <w:pPr>
        <w:jc w:val="left"/>
      </w:pPr>
      <w:r>
        <w:rPr>
          <w:b/>
        </w:rPr>
        <w:t>Alternativen gefunden (Pruefung durch Lattermann):</w:t>
      </w:r>
    </w:p>
    <w:p>
      <w:pPr>
        <w:pStyle w:val="ListBullet"/>
      </w:pPr>
      <w:r>
        <w:t>bundesgerichtshof.de: Entscheidung abrufbar unter https://www.bundesgerichtshof.de/SharedDocs/Entscheidungen/DE/2022/04/urt20220421_ixzr023421.html</w:t>
      </w:r>
    </w:p>
    <w:p>
      <w:pPr>
        <w:pStyle w:val="ListBullet"/>
      </w:pPr>
      <w:r>
        <w:t>BGHZ-Aufnahme: BGHZ 233, 177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BGH, Urt. v. 21.04.2022, Az. IX ZR 234/21, BGHZ 233, 177 (Rn. 25), abrufbar unter: https://www.bundesgerichtshof.de/SharedDocs/Entscheidungen/DE/2022/04/urt20220421_ixzr023421.html (abgerufen am 01.10.2025).</w:t>
      </w:r>
    </w:p>
    <w:p>
      <w:pPr>
        <w:jc w:val="left"/>
      </w:pPr>
      <w:r>
        <w:rPr>
          <w:b/>
        </w:rPr>
        <w:t>Ergebnis:</w:t>
      </w:r>
      <w:r>
        <w:t xml:space="preserve"> PV-BR aufgehoben nach Verifikation amtlicher Quelle.</w:t>
      </w:r>
    </w:p>
    <w:p/>
    <w:p>
      <w:pPr>
        <w:pStyle w:val="Heading2"/>
      </w:pPr>
      <w:r>
        <w:rPr>
          <w:rFonts w:ascii="Times New Roman" w:hAnsi="Times New Roman"/>
        </w:rPr>
        <w:t>Fall 2 — BeckRS allein, nur dejure-Alternative</w:t>
      </w:r>
    </w:p>
    <w:p>
      <w:pPr>
        <w:jc w:val="left"/>
      </w:pPr>
      <w:r>
        <w:rPr>
          <w:b/>
        </w:rPr>
        <w:t>Ausgangssituation:</w:t>
      </w:r>
    </w:p>
    <w:p>
      <w:pPr>
        <w:jc w:val="left"/>
      </w:pPr>
      <w:r>
        <w:t>OLG Muenchen, Urt. v. 03.05.2023, Az. 7 U 3456/22, BeckRS 2023, 22345.</w:t>
      </w:r>
    </w:p>
    <w:p>
      <w:pPr>
        <w:jc w:val="left"/>
      </w:pPr>
      <w:r>
        <w:rPr>
          <w:b/>
        </w:rPr>
        <w:t>[PRÜFVERMERK — BeckRS-SPERRE (PV-BR)]</w:t>
      </w:r>
    </w:p>
    <w:p>
      <w:pPr>
        <w:jc w:val="left"/>
      </w:pPr>
      <w:r>
        <w:t>BeckRS 2023, 22345 gesperrt.</w:t>
      </w:r>
    </w:p>
    <w:p>
      <w:pPr>
        <w:jc w:val="left"/>
      </w:pPr>
      <w:r>
        <w:rPr>
          <w:b/>
        </w:rPr>
        <w:t>Alternative:</w:t>
      </w:r>
    </w:p>
    <w:p>
      <w:pPr>
        <w:pStyle w:val="ListBullet"/>
      </w:pPr>
      <w:r>
        <w:t>dejure.org: https://dejure.org/2023,18991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OLG Muenchen, Urt. v. 03.05.2023, Az. 7 U 3456/22, abrufbar unter: https://dejure.org/2023,18991 (abgerufen am 01.10.2025).</w:t>
      </w:r>
    </w:p>
    <w:p>
      <w:pPr>
        <w:jc w:val="left"/>
      </w:pPr>
      <w:r>
        <w:rPr>
          <w:b/>
        </w:rPr>
        <w:t>Hinweis:</w:t>
      </w:r>
      <w:r>
        <w:t xml:space="preserve"> Ohne Zeitschriftenfundstelle und ohne amtliche Sammlung ist das Zitat nur mit freier URL vollständig. Das ist zulässig, sofern die URL dauerhaft stabil ist.</w:t>
      </w:r>
    </w:p>
    <w:p/>
    <w:p>
      <w:pPr>
        <w:pStyle w:val="Heading2"/>
      </w:pPr>
      <w:r>
        <w:rPr>
          <w:rFonts w:ascii="Times New Roman" w:hAnsi="Times New Roman"/>
        </w:rPr>
        <w:t>Fall 3 — BeckRS allein, keine freie Alternative (Sperre bleibt)</w:t>
      </w:r>
    </w:p>
    <w:p>
      <w:pPr>
        <w:jc w:val="left"/>
      </w:pPr>
      <w:r>
        <w:rPr>
          <w:b/>
        </w:rPr>
        <w:t>Ausgangssituation:</w:t>
      </w:r>
    </w:p>
    <w:p>
      <w:pPr>
        <w:jc w:val="left"/>
      </w:pPr>
      <w:r>
        <w:t>AG Hamburg, Urt. v. 15.11.2022, Az. 36b C 123/22, BeckRS 2022, 99887.</w:t>
      </w:r>
    </w:p>
    <w:p>
      <w:pPr>
        <w:jc w:val="left"/>
      </w:pPr>
      <w:r>
        <w:rPr>
          <w:b/>
        </w:rPr>
        <w:t>[PRÜFVERMERK — BeckRS-SPERRE (PV-BR)]</w:t>
      </w:r>
    </w:p>
    <w:p>
      <w:pPr>
        <w:jc w:val="left"/>
      </w:pPr>
      <w:r>
        <w:t>BeckRS 2022, 99887 gesperrt. Pruefung durch Lattermann: Keine amtliche Quelle, keine dejure-/openjur-Alternative verfügbar.</w:t>
      </w:r>
    </w:p>
    <w:p>
      <w:pPr>
        <w:jc w:val="left"/>
      </w:pPr>
      <w:r>
        <w:rPr>
          <w:b/>
        </w:rPr>
        <w:t>Ergebnis:</w:t>
      </w:r>
      <w:r>
        <w:t xml:space="preserve"> Sperre bleibt bestehen. Empfehlung: Fundstelle nur verwenden, wenn Lizenzzugang beck-online dokumentiert ist. Alternativ: Zitat aus Schriftsatz entfernen oder durch andere Fundstelle ersetzen.</w:t>
      </w:r>
    </w:p>
    <w:p/>
    <w:p>
      <w:pPr>
        <w:pStyle w:val="Heading2"/>
      </w:pPr>
      <w:r>
        <w:rPr>
          <w:rFonts w:ascii="Times New Roman" w:hAnsi="Times New Roman"/>
        </w:rPr>
        <w:t>Fall 4 — BeckRS als Ergänzung zu amtlicher Quelle (zulässig)</w:t>
      </w:r>
    </w:p>
    <w:p>
      <w:pPr>
        <w:jc w:val="left"/>
      </w:pPr>
      <w:r>
        <w:rPr>
          <w:b/>
        </w:rPr>
        <w:t>Situation:</w:t>
      </w:r>
      <w:r>
        <w:t xml:space="preserve"> Lizenzzugang documentiert; BeckRS erganzt die amtliche Fundstelle.</w:t>
      </w:r>
    </w:p>
    <w:p>
      <w:pPr>
        <w:jc w:val="left"/>
      </w:pPr>
      <w:r>
        <w:rPr>
          <w:b/>
        </w:rPr>
        <w:t>Zitat:</w:t>
      </w:r>
    </w:p>
    <w:p>
      <w:pPr>
        <w:jc w:val="left"/>
      </w:pPr>
      <w:r>
        <w:t>BVerfG, Beschl. v. 14.01.2020, Az. 1 BvR 2354/13, NJW 2020, 905 (907), BeckRS 2020, 1234.</w:t>
      </w:r>
    </w:p>
    <w:p>
      <w:pPr>
        <w:jc w:val="left"/>
      </w:pPr>
      <w:r>
        <w:rPr>
          <w:b/>
        </w:rPr>
        <w:t>Prüfvermerk:</w:t>
      </w:r>
      <w:r>
        <w:t xml:space="preserve"> Kein Prüfvermerk erforderlich, da Lizenzzugang dokumentiert und amtliche NJW-Fundstelle vorhanden. BeckRS ist Ergänzung, nicht alleinige Fundstelle — zulässig.</w:t>
      </w:r>
    </w:p>
    <w:p/>
    <w:p>
      <w:pPr>
        <w:pStyle w:val="Heading2"/>
      </w:pPr>
      <w:r>
        <w:rPr>
          <w:rFonts w:ascii="Times New Roman" w:hAnsi="Times New Roman"/>
        </w:rPr>
        <w:t>Fall 5 — BeckRS statt amtlicher Quelle (Rangfolge-Fehler)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BGH, Urt. v. 12.05.2022, Az. III ZR 234/21, BeckRS 2022, 14778, NJW 2022, 2187.</w:t>
      </w:r>
    </w:p>
    <w:p>
      <w:pPr>
        <w:jc w:val="left"/>
      </w:pPr>
      <w:r>
        <w:rPr>
          <w:b/>
        </w:rPr>
        <w:t>[PRÜFVERMERK — RANGFOLGE-FEHLER (PV-RG) + BeckRS-SPERRE (PV-BR)]</w:t>
      </w:r>
    </w:p>
    <w:p>
      <w:pPr>
        <w:jc w:val="left"/>
      </w:pPr>
      <w:r>
        <w:t>Zwei Fehler: (1) NJW muss vor BeckRS stehen. (2) BeckRS ohne dokumentierten Lizenzzugang.</w:t>
      </w:r>
    </w:p>
    <w:p>
      <w:pPr>
        <w:jc w:val="left"/>
      </w:pPr>
      <w:r>
        <w:rPr>
          <w:b/>
        </w:rPr>
        <w:t>Korrigiertes Zitat:</w:t>
      </w:r>
    </w:p>
    <w:p>
      <w:pPr>
        <w:jc w:val="left"/>
      </w:pPr>
      <w:r>
        <w:t>BGH, Urt. v. 12.05.2022, Az. III ZR 234/21, NJW 2022, 2187 (2188), abrufbar unter: https://dejure.org/2022,14889 (abgerufen am 01.10.2025).</w:t>
      </w:r>
    </w:p>
    <w:p/>
    <w:p>
      <w:pPr>
        <w:pStyle w:val="Heading2"/>
      </w:pPr>
      <w:r>
        <w:rPr>
          <w:rFonts w:ascii="Times New Roman" w:hAnsi="Times New Roman"/>
        </w:rPr>
        <w:t>Fall 6 — BeckRS-Nummer als einzige Identifizierung (PV-UV + PV-BR)</w:t>
      </w:r>
    </w:p>
    <w:p>
      <w:pPr>
        <w:jc w:val="left"/>
      </w:pPr>
      <w:r>
        <w:rPr>
          <w:b/>
        </w:rPr>
        <w:t>Fehlerhaftes Zitat:</w:t>
      </w:r>
    </w:p>
    <w:p>
      <w:pPr>
        <w:jc w:val="left"/>
      </w:pPr>
      <w:r>
        <w:t>BeckRS 2021, 45678.</w:t>
      </w:r>
    </w:p>
    <w:p>
      <w:pPr>
        <w:jc w:val="left"/>
      </w:pPr>
      <w:r>
        <w:rPr>
          <w:b/>
        </w:rPr>
        <w:t>[PRÜFVERMERK — UNVOLLSTÄNDIGES ZITAT (PV-UV) + BeckRS-SPERRE (PV-BR)]</w:t>
      </w:r>
    </w:p>
    <w:p>
      <w:pPr>
        <w:jc w:val="left"/>
      </w:pPr>
      <w:r>
        <w:t>Kein Gericht, kein Datum, kein Aktenzeichen angegeben. BeckRS-Nummer allein genügt nicht als Zitatnachweis. Pflichtangaben Gericht, Datum, AZ fehlen vollständig.</w:t>
      </w:r>
    </w:p>
    <w:p/>
    <w:p>
      <w:pPr>
        <w:pStyle w:val="Heading2"/>
      </w:pPr>
      <w:r>
        <w:rPr>
          <w:rFonts w:ascii="Times New Roman" w:hAnsi="Times New Roman"/>
        </w:rPr>
        <w:t>Zusammenfassung BeckRS-Sperre-Fälle im Pruefkorpus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Fall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BeckRS-Nummer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Alternative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BeckRS 2022, 12345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BGHZ 233, 177 + BGH-URL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Sperre aufgehoben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BeckRS 2023, 22345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dejure-URL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Sperre aufgehoben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BeckRS 2022, 99887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Sperre bleibt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BeckRS 2020, 1234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NJW vorhanden + Lizenz dokumentiert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Kein Vermerk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BeckRS 2022, 14778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NJW 2022, 2187 + dejure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Sperre aufgehoben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BeckRS 2021, 45678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Unbekannt — Pflichtangaben fehlen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Doppelter Vermerk</w:t>
            </w:r>
          </w:p>
        </w:tc>
      </w:tr>
    </w:tbl>
    <w:p>
      <w:pPr>
        <w:jc w:val="left"/>
      </w:pPr>
      <w:r>
        <w:rPr>
          <w:b/>
        </w:rPr>
        <w:t>Statistik:</w:t>
      </w:r>
      <w:r>
        <w:t xml:space="preserve"> 6 BeckRS-Sperre-Fälle dokumentiert. 4 aufgelöst. 1 Sperre verbleibt. 1 Doppelter Vermerk.</w:t>
      </w:r>
    </w:p>
    <w:p/>
    <w:p>
      <w:pPr>
        <w:pStyle w:val="Heading2"/>
      </w:pPr>
      <w:r>
        <w:rPr>
          <w:rFonts w:ascii="Times New Roman" w:hAnsi="Times New Roman"/>
        </w:rPr>
        <w:t>Empfehlungen des Knowledge-Teams</w:t>
      </w:r>
    </w:p>
    <w:p>
      <w:pPr>
        <w:pStyle w:val="ListNumber"/>
      </w:pPr>
      <w:r>
        <w:rPr>
          <w:b/>
        </w:rPr>
        <w:t>Primäre Empfehlung:</w:t>
      </w:r>
      <w:r>
        <w:t xml:space="preserve"> Vor Verwendung von BeckRS-Zitaten immer zuerst amtliche Server (bundesgerichtshof.de, bundesverfassungsgericht.de, bundesfinanzhof.de) und dejure.org/openjur.de prüfen.</w:t>
      </w:r>
    </w:p>
    <w:p>
      <w:pPr>
        <w:pStyle w:val="ListNumber"/>
      </w:pPr>
      <w:r>
        <w:rPr>
          <w:b/>
        </w:rPr>
        <w:t>BeckRS als Rückfall:</w:t>
      </w:r>
      <w:r>
        <w:t xml:space="preserve"> BeckRS nur verwenden, wenn keine freie Alternative verfügbar und Lizenzzugang dokumentiert ist.</w:t>
      </w:r>
    </w:p>
    <w:p>
      <w:pPr>
        <w:pStyle w:val="ListNumber"/>
      </w:pPr>
      <w:r>
        <w:rPr>
          <w:b/>
        </w:rPr>
        <w:t>Lizenznachweis:</w:t>
      </w:r>
      <w:r>
        <w:t xml:space="preserve"> Kanzlei-weiter Lizenzzugang beck-online ist dokumentiert (Vertrag Roosendaal × Beck 01.01.2025 – 31.12.2025). Bei Nutzung einzelner Fundstellen aus Beck-Online: Lizenzstatus im Prüfvermerk notieren.</w:t>
      </w:r>
    </w:p>
    <w:p/>
    <w:p>
      <w:pPr>
        <w:jc w:val="left"/>
      </w:pPr>
      <w:r>
        <w:rPr>
          <w:i/>
        </w:rPr>
        <w:t>Pruefkorpus-Abschnitt BeckRS-Sperre. Stand: Oktober 2025.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