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— Amtliche Online-Quellen: bundesgerichtshof.de und bundesverfassungsgericht.de</w:t>
      </w:r>
    </w:p>
    <w:p>
      <w:pPr>
        <w:jc w:val="left"/>
      </w:pPr>
      <w:r>
        <w:rPr>
          <w:b/>
        </w:rPr>
        <w:t>Pruefkorpus-Abschnitt: Amtliche Online-Quellen</w:t>
      </w:r>
    </w:p>
    <w:p>
      <w:pPr>
        <w:jc w:val="left"/>
      </w:pPr>
      <w:r>
        <w:rPr>
          <w:b/>
        </w:rPr>
        <w:t>Bearbeiterin: Dr. Sophia Pohlmann-Wittfeldt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A. Grundsatz</w:t>
      </w:r>
    </w:p>
    <w:p>
      <w:pPr>
        <w:jc w:val="left"/>
      </w:pPr>
      <w:r>
        <w:t>Die Websites bundesgerichtshof.de und bundesverfassungsgericht.de sind amtliche Online-Praesenzquellen. Entscheidungen sind dort im Original abrufbar und gelten als dauerhaft stabil. Ein separater Archivlink (Wayback Machine) ist nicht erforderlich, aber zulässig.</w:t>
      </w:r>
    </w:p>
    <w:p>
      <w:pPr>
        <w:jc w:val="left"/>
      </w:pPr>
      <w:r>
        <w:t>Bei bundesfinanzhof.de, bverwg.de und bsg.bund.de gilt dasselbe.</w:t>
      </w:r>
    </w:p>
    <w:p/>
    <w:p>
      <w:pPr>
        <w:pStyle w:val="Heading2"/>
      </w:pPr>
      <w:r>
        <w:rPr>
          <w:rFonts w:ascii="Times New Roman" w:hAnsi="Times New Roman"/>
        </w:rPr>
        <w:t>B. Zitierformat amtliche Online-Quellen</w:t>
      </w:r>
    </w:p>
    <w:p>
      <w:pPr>
        <w:pStyle w:val="Heading3"/>
      </w:pPr>
      <w:r>
        <w:rPr>
          <w:rFonts w:ascii="Times New Roman" w:hAnsi="Times New Roman"/>
        </w:rPr>
        <w:t>B.1 BGH-Entscheidungen (bundesgerichtshof.de)</w:t>
      </w:r>
    </w:p>
    <w:p>
      <w:pPr>
        <w:jc w:val="left"/>
      </w:pPr>
      <w:r>
        <w:rPr>
          <w:b/>
        </w:rPr>
        <w:t>Format:</w:t>
      </w:r>
    </w:p>
    <w:p>
      <w:pPr>
        <w:jc w:val="left"/>
      </w:pPr>
      <w:r>
        <w:t>BGH, [Urteilsart] v. TT.MM.JJJJ, Az. XX ZR YYY/ZZ, [amtliche Sammlung ggf.], abrufbar unter: https://www.bundesgerichtshof.de/SharedDocs/Entscheidungen/DE/JJJJ/MM/[dateiname].html (abgerufen am TT.MM.JJJJ).</w:t>
      </w:r>
    </w:p>
    <w:p>
      <w:pPr>
        <w:jc w:val="left"/>
      </w:pPr>
      <w:r>
        <w:rPr>
          <w:b/>
        </w:rPr>
        <w:t>Beispiel (Fundstelle 83 des Pruefkorpus):</w:t>
      </w:r>
    </w:p>
    <w:p>
      <w:pPr>
        <w:jc w:val="left"/>
      </w:pPr>
      <w:r>
        <w:t>BGH, Urt. v. 21.12.2021, Az. VI ZR 48/21, BGHZ 232, 133, abrufbar unter: https://www.bundesgerichtshof.de/SharedDocs/Entscheidungen/DE/2021/12/urt20211221_vizr004821.html (abgerufen am 01.10.2025).</w:t>
      </w:r>
    </w:p>
    <w:p>
      <w:pPr>
        <w:jc w:val="left"/>
      </w:pPr>
      <w:r>
        <w:rPr>
          <w:b/>
        </w:rPr>
        <w:t>Prüfvermerk Nr. 83:</w:t>
      </w:r>
      <w:r>
        <w:t xml:space="preserve"> Kein Prüfvermerk. URL amtlich und dauerhaft stabil.</w:t>
      </w:r>
    </w:p>
    <w:p/>
    <w:p>
      <w:pPr>
        <w:pStyle w:val="Heading3"/>
      </w:pPr>
      <w:r>
        <w:rPr>
          <w:rFonts w:ascii="Times New Roman" w:hAnsi="Times New Roman"/>
        </w:rPr>
        <w:t>B.2 BVerfG-Entscheidungen (bundesverfassungsgericht.de)</w:t>
      </w:r>
    </w:p>
    <w:p>
      <w:pPr>
        <w:jc w:val="left"/>
      </w:pPr>
      <w:r>
        <w:rPr>
          <w:b/>
        </w:rPr>
        <w:t>Format:</w:t>
      </w:r>
    </w:p>
    <w:p>
      <w:pPr>
        <w:jc w:val="left"/>
      </w:pPr>
      <w:r>
        <w:t>BVerfG, [Urteilsart] v. TT.MM.JJJJ, Az. X BvX YY/ZZ, BVerfGE XX, YYY (ZZZ), abrufbar unter: https://www.bundesverfassungsgericht.de/SharedDocs/Entscheidungen/DE/JJJJ/MM/[dateiname].html (abgerufen am TT.MM.JJJJ).</w:t>
      </w:r>
    </w:p>
    <w:p>
      <w:pPr>
        <w:jc w:val="left"/>
      </w:pPr>
      <w:r>
        <w:rPr>
          <w:b/>
        </w:rPr>
        <w:t>Beispiel (Fundstelle 84 des Pruefkorpus):</w:t>
      </w:r>
    </w:p>
    <w:p>
      <w:pPr>
        <w:jc w:val="left"/>
      </w:pPr>
      <w:r>
        <w:t>BVerfG, Urt. v. 15.01.1958, Az. 1 BvR 400/51, BVerfGE 7, 198 (205) — Lueth, abrufbar unter: https://www.bundesverfassungsgericht.de/SharedDocs/Entscheidungen/DE/1958/01/rs19580115_1bvr040051.html (abgerufen am 01.10.2025).</w:t>
      </w:r>
    </w:p>
    <w:p>
      <w:pPr>
        <w:jc w:val="left"/>
      </w:pPr>
      <w:r>
        <w:rPr>
          <w:b/>
        </w:rPr>
        <w:t>Prüfvermerk Nr. 84:</w:t>
      </w:r>
      <w:r>
        <w:t xml:space="preserve"> Kein Prüfvermerk.</w:t>
      </w:r>
    </w:p>
    <w:p/>
    <w:p>
      <w:pPr>
        <w:pStyle w:val="Heading3"/>
      </w:pPr>
      <w:r>
        <w:rPr>
          <w:rFonts w:ascii="Times New Roman" w:hAnsi="Times New Roman"/>
        </w:rPr>
        <w:t>B.3 BFH-Entscheidungen (bundesfinanzhof.de)</w:t>
      </w:r>
    </w:p>
    <w:p>
      <w:pPr>
        <w:jc w:val="left"/>
      </w:pPr>
      <w:r>
        <w:rPr>
          <w:b/>
        </w:rPr>
        <w:t>Format:</w:t>
      </w:r>
    </w:p>
    <w:p>
      <w:pPr>
        <w:jc w:val="left"/>
      </w:pPr>
      <w:r>
        <w:t>BFH, [Urteilsart] v. TT.MM.JJJJ, Az. XX R YY/ZZ, BFHE XXX, YYY; BStBl. II JJJJ, ZZZ, abrufbar unter: https://www.bundesfinanzhof.de/de/entscheidung/entscheidungen-online/detail/STRE[Nummer]/ (abgerufen am TT.MM.JJJJ).</w:t>
      </w:r>
    </w:p>
    <w:p>
      <w:pPr>
        <w:jc w:val="left"/>
      </w:pPr>
      <w:r>
        <w:rPr>
          <w:b/>
        </w:rPr>
        <w:t>Beispiel (Fundstelle 85):</w:t>
      </w:r>
    </w:p>
    <w:p>
      <w:pPr>
        <w:jc w:val="left"/>
      </w:pPr>
      <w:r>
        <w:t>BFH, Urt. v. 23.01.2023, Az. IX R 8/22, BFHE 278, 100; BStBl. II 2023, 456, abrufbar unter: https://www.bundesfinanzhof.de/de/entscheidung/entscheidungen-online/detail/STRE202310054/ (abgerufen am 01.10.2025).</w:t>
      </w:r>
    </w:p>
    <w:p>
      <w:pPr>
        <w:jc w:val="left"/>
      </w:pPr>
      <w:r>
        <w:rPr>
          <w:b/>
        </w:rPr>
        <w:t>Prüfvermerk Nr. 85:</w:t>
      </w:r>
      <w:r>
        <w:t xml:space="preserve"> Kein Prüfvermerk.</w:t>
      </w:r>
    </w:p>
    <w:p/>
    <w:p>
      <w:pPr>
        <w:pStyle w:val="Heading3"/>
      </w:pPr>
      <w:r>
        <w:rPr>
          <w:rFonts w:ascii="Times New Roman" w:hAnsi="Times New Roman"/>
        </w:rPr>
        <w:t>B.4 BVerwG-Entscheidungen (bverwg.de)</w:t>
      </w:r>
    </w:p>
    <w:p>
      <w:pPr>
        <w:jc w:val="left"/>
      </w:pPr>
      <w:r>
        <w:rPr>
          <w:b/>
        </w:rPr>
        <w:t>Format:</w:t>
      </w:r>
    </w:p>
    <w:p>
      <w:pPr>
        <w:jc w:val="left"/>
      </w:pPr>
      <w:r>
        <w:t>BVerwG, [Urteilsart] v. TT.MM.JJJJ, Az. X XX X.XX, BVerwGE XXX, YYY, abrufbar unter: https://www.bverwg.de/[TTMMJJJJ][Kurzform][Az.].0 (abgerufen am TT.MM.JJJJ).</w:t>
      </w:r>
    </w:p>
    <w:p>
      <w:pPr>
        <w:jc w:val="left"/>
      </w:pPr>
      <w:r>
        <w:rPr>
          <w:b/>
        </w:rPr>
        <w:t>Beispiel (Fundstelle 86):</w:t>
      </w:r>
    </w:p>
    <w:p>
      <w:pPr>
        <w:jc w:val="left"/>
      </w:pPr>
      <w:r>
        <w:t>BVerwG, Urt. v. 05.09.2019, Az. 2 C 17.18, BVerwGE 166, 303, abrufbar unter: https://www.bverwg.de/050919U2C17.18.0 (abgerufen am 01.10.2025).</w:t>
      </w:r>
    </w:p>
    <w:p>
      <w:pPr>
        <w:jc w:val="left"/>
      </w:pPr>
      <w:r>
        <w:rPr>
          <w:b/>
        </w:rPr>
        <w:t>Prüfvermerk Nr. 86:</w:t>
      </w:r>
      <w:r>
        <w:t xml:space="preserve"> Kein Prüfvermerk.</w:t>
      </w:r>
    </w:p>
    <w:p/>
    <w:p>
      <w:pPr>
        <w:pStyle w:val="Heading2"/>
      </w:pPr>
      <w:r>
        <w:rPr>
          <w:rFonts w:ascii="Times New Roman" w:hAnsi="Times New Roman"/>
        </w:rPr>
        <w:t>C. Besondere Situationen</w:t>
      </w:r>
    </w:p>
    <w:p>
      <w:pPr>
        <w:pStyle w:val="Heading3"/>
      </w:pPr>
      <w:r>
        <w:rPr>
          <w:rFonts w:ascii="Times New Roman" w:hAnsi="Times New Roman"/>
        </w:rPr>
        <w:t>C.1 Entscheidung noch nicht auf amtlichem Server (neue Entscheidung)</w:t>
      </w:r>
    </w:p>
    <w:p>
      <w:pPr>
        <w:jc w:val="left"/>
      </w:pPr>
      <w:r>
        <w:rPr>
          <w:b/>
        </w:rPr>
        <w:t>Situation (Fundstelle 87):</w:t>
      </w:r>
    </w:p>
    <w:p>
      <w:pPr>
        <w:jc w:val="left"/>
      </w:pPr>
      <w:r>
        <w:t>BGH, Urt. v. 15.08.2025, Az. XII ZB 100/25.</w:t>
      </w:r>
    </w:p>
    <w:p>
      <w:pPr>
        <w:jc w:val="left"/>
      </w:pPr>
      <w:r>
        <w:t>Entscheidung vom 15.08.2025 noch nicht online verfügbar.</w:t>
      </w:r>
    </w:p>
    <w:p>
      <w:pPr>
        <w:jc w:val="left"/>
      </w:pPr>
      <w:r>
        <w:rPr>
          <w:b/>
        </w:rPr>
        <w:t>[PRÜFVERMERK — UNVOLLSTÄNDIGES ZITAT (PV-UV)]</w:t>
      </w:r>
    </w:p>
    <w:p>
      <w:pPr>
        <w:jc w:val="left"/>
      </w:pPr>
      <w:r>
        <w:t>Fundstelle fehlt. Entscheidung zu neu für Veröffentlichung. Bitte Pruefung wiederholen ab Oktober 2025.</w:t>
      </w:r>
    </w:p>
    <w:p/>
    <w:p>
      <w:pPr>
        <w:pStyle w:val="Heading3"/>
      </w:pPr>
      <w:r>
        <w:rPr>
          <w:rFonts w:ascii="Times New Roman" w:hAnsi="Times New Roman"/>
        </w:rPr>
        <w:t>C.2 Link auf amtlichem Server verändert (404-Fehler)</w:t>
      </w:r>
    </w:p>
    <w:p>
      <w:pPr>
        <w:jc w:val="left"/>
      </w:pPr>
      <w:r>
        <w:rPr>
          <w:b/>
        </w:rPr>
        <w:t>Situation (Fundstelle 88):</w:t>
      </w:r>
    </w:p>
    <w:p>
      <w:pPr>
        <w:jc w:val="left"/>
      </w:pPr>
      <w:r>
        <w:t>BVerfG, Beschl. v. 14.03.2017, Az. 2 BvL 17/09 — URL liefert 404.</w:t>
      </w:r>
    </w:p>
    <w:p>
      <w:pPr>
        <w:jc w:val="left"/>
      </w:pPr>
      <w:r>
        <w:rPr>
          <w:b/>
        </w:rPr>
        <w:t>Empfehlung:</w:t>
      </w:r>
      <w:r>
        <w:t xml:space="preserve"> Neusuche über https://www.bundesverfassungsgericht.de (Entscheidungsdatenbank). Bei dauerhaftem Ausfall: Archivlink Wayback Machine erganzen:</w:t>
      </w:r>
    </w:p>
    <w:p>
      <w:pPr>
        <w:jc w:val="left"/>
      </w:pPr>
      <w:r>
        <w:t>https://web.archive.org/web/*/https://www.bundesverfassungsgericht.de/SharedDocs/Entscheidungen/DE/2017/03/...</w:t>
      </w:r>
    </w:p>
    <w:p>
      <w:pPr>
        <w:jc w:val="left"/>
      </w:pPr>
      <w:r>
        <w:rPr>
          <w:b/>
        </w:rPr>
        <w:t>Prüfvermerk Nr. 88:</w:t>
      </w:r>
      <w:r>
        <w:t xml:space="preserve"> PV-URL (URL ungültig — bitte Neusuche und Aktualisierung).</w:t>
      </w:r>
    </w:p>
    <w:p/>
    <w:p>
      <w:pPr>
        <w:pStyle w:val="Heading3"/>
      </w:pPr>
      <w:r>
        <w:rPr>
          <w:rFonts w:ascii="Times New Roman" w:hAnsi="Times New Roman"/>
        </w:rPr>
        <w:t>C.3 Parallelzitat: amtlicher Server UND dejure</w:t>
      </w:r>
    </w:p>
    <w:p>
      <w:pPr>
        <w:jc w:val="left"/>
      </w:pPr>
      <w:r>
        <w:t>Beides ist zulässig. Kanzleistandard: Amtlicher Server hat Vorrang; dejure als Ergänzung bei einfacherer Navigation.</w:t>
      </w:r>
    </w:p>
    <w:p>
      <w:pPr>
        <w:jc w:val="left"/>
      </w:pPr>
      <w:r>
        <w:rPr>
          <w:b/>
        </w:rPr>
        <w:t>Beispiel (Fundstelle 89):</w:t>
      </w:r>
    </w:p>
    <w:p>
      <w:pPr>
        <w:jc w:val="left"/>
      </w:pPr>
      <w:r>
        <w:t>BGH, Urt. v. 14.03.2023, Az. VI ZR 44/22, NJW 2023, 2165, abrufbar unter: https://www.bundesgerichtshof.de/SharedDocs/Entscheidungen/DE/2023/03/urt20230314_vizr004422.html und https://dejure.org/2023,9002 (abgerufen am 01.10.2025).</w:t>
      </w:r>
    </w:p>
    <w:p>
      <w:pPr>
        <w:jc w:val="left"/>
      </w:pPr>
      <w:r>
        <w:rPr>
          <w:b/>
        </w:rPr>
        <w:t>Prüfvermerk Nr. 89:</w:t>
      </w:r>
      <w:r>
        <w:t xml:space="preserve"> Kein Prüfvermerk. Doppel-URL zulässig.</w:t>
      </w:r>
    </w:p>
    <w:p/>
    <w:p>
      <w:pPr>
        <w:pStyle w:val="Heading2"/>
      </w:pPr>
      <w:r>
        <w:rPr>
          <w:rFonts w:ascii="Times New Roman" w:hAnsi="Times New Roman"/>
        </w:rPr>
        <w:t>D. Checkliste amtliche Online-Quellen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URL-Gültigkeit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Ist die URL aktuell erreichbar?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Abrufdatum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Ist das Abrufdatum dokumentiert?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Stabile Domain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Ist die Domain amtlich (bundesgerichtshof.de etc.)?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Archivlink nötig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Amtliche Server gelten als dauerhaft stabil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URL ergaenzbar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Zweifeln Archivlink Wayback Machine erganzen</w:t>
            </w:r>
          </w:p>
        </w:tc>
      </w:tr>
    </w:tbl>
    <w:p/>
    <w:p>
      <w:pPr>
        <w:jc w:val="left"/>
      </w:pPr>
      <w:r>
        <w:rPr>
          <w:i/>
        </w:rPr>
        <w:t>Pruefkorpus-Abschnitt Amtliche Online-Quellen: Fundstellen 83–89. Stand: Oktober 2025.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