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12 — Mehrfach-Fundstellen: Rangfolge und Beispiele</w:t>
      </w:r>
    </w:p>
    <w:p>
      <w:pPr>
        <w:jc w:val="left"/>
      </w:pPr>
      <w:r>
        <w:rPr>
          <w:b/>
        </w:rPr>
        <w:t>Kanzleihandbuch Zitierweise v4.0 — Rangfolge-Regelung</w:t>
      </w:r>
    </w:p>
    <w:p>
      <w:pPr>
        <w:jc w:val="left"/>
      </w:pPr>
      <w:r>
        <w:rPr>
          <w:b/>
        </w:rPr>
        <w:t>Stand: Oktober 2025</w:t>
      </w:r>
    </w:p>
    <w:p/>
    <w:p>
      <w:pPr>
        <w:pStyle w:val="Heading2"/>
      </w:pPr>
      <w:r>
        <w:rPr>
          <w:rFonts w:ascii="Times New Roman" w:hAnsi="Times New Roman"/>
        </w:rPr>
        <w:t>A. Grundregel Rangfolge</w:t>
      </w:r>
    </w:p>
    <w:p>
      <w:pPr>
        <w:jc w:val="left"/>
      </w:pPr>
      <w:r>
        <w:t>Bei einer Entscheidung, die in mehreren Quellen veröffentlicht ist, gilt folgende Rangfolge:</w:t>
      </w:r>
    </w:p>
    <w:p>
      <w:pPr>
        <w:jc w:val="left"/>
      </w:pPr>
      <w:r>
        <w:t>```</w:t>
      </w:r>
    </w:p>
    <w:p>
      <w:pPr>
        <w:pStyle w:val="ListNumber"/>
      </w:pPr>
      <w:r>
        <w:t>Amtliche Sammlung    (BGHZ, BVerfGE, BFHE, BVerwGE, BSGE, BAGE)</w:t>
      </w:r>
    </w:p>
    <w:p>
      <w:pPr>
        <w:pStyle w:val="ListNumber"/>
      </w:pPr>
      <w:r>
        <w:t>Erste juristische    (NJW, JZ, AcP, MDR)</w:t>
      </w:r>
    </w:p>
    <w:p>
      <w:pPr>
        <w:jc w:val="left"/>
      </w:pPr>
      <w:r>
        <w:t>Fachzeitschrift</w:t>
      </w:r>
    </w:p>
    <w:p>
      <w:pPr>
        <w:pStyle w:val="ListNumber"/>
      </w:pPr>
      <w:r>
        <w:t>Spezialisierte       (NZA, FamRZ, NVwZ, GRUR, BStBl.)</w:t>
      </w:r>
    </w:p>
    <w:p>
      <w:pPr>
        <w:jc w:val="left"/>
      </w:pPr>
      <w:r>
        <w:t>Zeitschrift</w:t>
      </w:r>
    </w:p>
    <w:p>
      <w:pPr>
        <w:pStyle w:val="ListNumber"/>
      </w:pPr>
      <w:r>
        <w:t>Freie Online-Quelle  (dejure.org, openjur.de — mit URL)</w:t>
      </w:r>
    </w:p>
    <w:p>
      <w:pPr>
        <w:pStyle w:val="ListNumber"/>
      </w:pPr>
      <w:r>
        <w:t>BeckRS               (nur mit Lizenzzugang — sonst PV-BR)</w:t>
      </w:r>
    </w:p>
    <w:p>
      <w:pPr>
        <w:jc w:val="left"/>
      </w:pPr>
      <w:r>
        <w:t>```</w:t>
      </w:r>
    </w:p>
    <w:p>
      <w:pPr>
        <w:jc w:val="left"/>
      </w:pPr>
      <w:r>
        <w:t>Amtliche Online-Server (bundesgerichtshof.de etc.) ersetzen nicht die amtliche Sammlung in der Rangfolge, sondern erganzen als URL-Quelle.</w:t>
      </w:r>
    </w:p>
    <w:p/>
    <w:p>
      <w:pPr>
        <w:pStyle w:val="Heading2"/>
      </w:pPr>
      <w:r>
        <w:rPr>
          <w:rFonts w:ascii="Times New Roman" w:hAnsi="Times New Roman"/>
        </w:rPr>
        <w:t>B. Pruefkorpus-Beispiele Mehrfach-Fundstellen (Fundstellen 96–100)</w:t>
      </w:r>
    </w:p>
    <w:p>
      <w:pPr>
        <w:pStyle w:val="Heading3"/>
      </w:pPr>
      <w:r>
        <w:rPr>
          <w:rFonts w:ascii="Times New Roman" w:hAnsi="Times New Roman"/>
        </w:rPr>
        <w:t>Fundstelle 96 — Vollständige Mehrfach-Fundstelle (vorbildlich)</w:t>
      </w:r>
    </w:p>
    <w:p>
      <w:pPr>
        <w:jc w:val="left"/>
      </w:pPr>
      <w:r>
        <w:rPr>
          <w:b/>
        </w:rPr>
        <w:t>Entscheidung:</w:t>
      </w:r>
      <w:r>
        <w:t xml:space="preserve"> BGH, Urt. v. 21.12.2021, Az. VI ZR 48/21</w:t>
      </w:r>
    </w:p>
    <w:p>
      <w:pPr>
        <w:jc w:val="left"/>
      </w:pPr>
      <w:r>
        <w:rPr>
          <w:b/>
        </w:rPr>
        <w:t>Quellen:</w:t>
      </w:r>
      <w:r>
        <w:t xml:space="preserve"> BGHZ 232, 133 | NJW 2022, 1238 | bundesgerichtshof.de | dejure.org</w:t>
      </w:r>
    </w:p>
    <w:p>
      <w:pPr>
        <w:jc w:val="left"/>
      </w:pPr>
      <w:r>
        <w:rPr>
          <w:b/>
        </w:rPr>
        <w:t>Korrektes Zitat:</w:t>
      </w:r>
    </w:p>
    <w:p>
      <w:pPr>
        <w:jc w:val="left"/>
      </w:pPr>
      <w:r>
        <w:t>BGH, Urt. v. 21.12.2021, Az. VI ZR 48/21, BGHZ 232, 133 (Rn. 18), NJW 2022, 1238 (1240), abrufbar unter: https://www.bundesgerichtshof.de/SharedDocs/Entscheidungen/DE/2021/12/urt20211221_vizr004821.html und https://dejure.org/2021,40001 (abgerufen am 01.10.2025).</w:t>
      </w:r>
    </w:p>
    <w:p>
      <w:pPr>
        <w:jc w:val="left"/>
      </w:pPr>
      <w:r>
        <w:rPr>
          <w:b/>
        </w:rPr>
        <w:t>Prüfvermerk Nr. 96:</w:t>
      </w:r>
      <w:r>
        <w:t xml:space="preserve"> Kein Prüfvermerk. Rangfolge korrekt: BGHZ → NJW → URLs.</w:t>
      </w:r>
    </w:p>
    <w:p/>
    <w:p>
      <w:pPr>
        <w:pStyle w:val="Heading3"/>
      </w:pPr>
      <w:r>
        <w:rPr>
          <w:rFonts w:ascii="Times New Roman" w:hAnsi="Times New Roman"/>
        </w:rPr>
        <w:t>Fundstelle 97 — Rangfolge-Fehler NJW vor BGHZ (PV-RG)</w:t>
      </w:r>
    </w:p>
    <w:p>
      <w:pPr>
        <w:jc w:val="left"/>
      </w:pPr>
      <w:r>
        <w:rPr>
          <w:b/>
        </w:rPr>
        <w:t>Fehlerhaftes Zitat:</w:t>
      </w:r>
    </w:p>
    <w:p>
      <w:pPr>
        <w:jc w:val="left"/>
      </w:pPr>
      <w:r>
        <w:t>BGH, Urt. v. 25.10.2011, Az. XI ZR 401/10, NJW 2012, 60, BGHZ 191, 119.</w:t>
      </w:r>
    </w:p>
    <w:p>
      <w:pPr>
        <w:jc w:val="left"/>
      </w:pPr>
      <w:r>
        <w:rPr>
          <w:b/>
        </w:rPr>
        <w:t>[PRÜFVERMERK — RANGFOLGE-FEHLER (PV-RG)]</w:t>
      </w:r>
    </w:p>
    <w:p>
      <w:pPr>
        <w:jc w:val="left"/>
      </w:pPr>
      <w:r>
        <w:t>BGHZ 191, 119 muss vor NJW 2012, 60 stehen.</w:t>
      </w:r>
    </w:p>
    <w:p>
      <w:pPr>
        <w:jc w:val="left"/>
      </w:pPr>
      <w:r>
        <w:rPr>
          <w:b/>
        </w:rPr>
        <w:t>Korrigiertes Zitat:</w:t>
      </w:r>
    </w:p>
    <w:p>
      <w:pPr>
        <w:jc w:val="left"/>
      </w:pPr>
      <w:r>
        <w:t>BGH, Urt. v. 25.10.2011, Az. XI ZR 401/10, BGHZ 191, 119 (Rn. 14), NJW 2012, 60 (61), abrufbar unter: https://dejure.org/2011,27699 (abgerufen am 01.10.2025).</w:t>
      </w:r>
    </w:p>
    <w:p>
      <w:pPr>
        <w:jc w:val="left"/>
      </w:pPr>
      <w:r>
        <w:rPr>
          <w:b/>
        </w:rPr>
        <w:t>Prüfvermerk Nr. 97:</w:t>
      </w:r>
      <w:r>
        <w:t xml:space="preserve"> PV-RG — nach Korrektur aufgelöst.</w:t>
      </w:r>
    </w:p>
    <w:p/>
    <w:p>
      <w:pPr>
        <w:pStyle w:val="Heading3"/>
      </w:pPr>
      <w:r>
        <w:rPr>
          <w:rFonts w:ascii="Times New Roman" w:hAnsi="Times New Roman"/>
        </w:rPr>
        <w:t>Fundstelle 98 — BeckRS an erster Stelle (doppelter Fehler: PV-RG + PV-BR)</w:t>
      </w:r>
    </w:p>
    <w:p>
      <w:pPr>
        <w:jc w:val="left"/>
      </w:pPr>
      <w:r>
        <w:rPr>
          <w:b/>
        </w:rPr>
        <w:t>Fehlerhaftes Zitat:</w:t>
      </w:r>
    </w:p>
    <w:p>
      <w:pPr>
        <w:jc w:val="left"/>
      </w:pPr>
      <w:r>
        <w:t>BVerfG, Urt. v. 15.01.1958, Az. 1 BvR 400/51, BeckRS 2021, 99900, BVerfGE 7, 198.</w:t>
      </w:r>
    </w:p>
    <w:p>
      <w:pPr>
        <w:jc w:val="left"/>
      </w:pPr>
      <w:r>
        <w:rPr>
          <w:b/>
        </w:rPr>
        <w:t>[PRÜFVERMERK — RANGFOLGE-FEHLER (PV-RG)]</w:t>
      </w:r>
    </w:p>
    <w:p>
      <w:pPr>
        <w:jc w:val="left"/>
      </w:pPr>
      <w:r>
        <w:t>BVerfGE 7, 198 muss an erster Stelle stehen.</w:t>
      </w:r>
    </w:p>
    <w:p>
      <w:pPr>
        <w:jc w:val="left"/>
      </w:pPr>
      <w:r>
        <w:rPr>
          <w:b/>
        </w:rPr>
        <w:t>[PRÜFVERMERK — BeckRS-SPERRE (PV-BR)]</w:t>
      </w:r>
    </w:p>
    <w:p>
      <w:pPr>
        <w:jc w:val="left"/>
      </w:pPr>
      <w:r>
        <w:t>BeckRS 2021, 99900 für eine Entscheidung von 1958 ist inhaltlich unplausibel. BeckRS-Nummern dieser Jahreszahl können keine Entscheidung von 1958 identifizieren. Möglicherweise halluzinierter BeckRS-Eintrag. Fundstelle entfernen.</w:t>
      </w:r>
    </w:p>
    <w:p>
      <w:pPr>
        <w:jc w:val="left"/>
      </w:pPr>
      <w:r>
        <w:rPr>
          <w:b/>
        </w:rPr>
        <w:t>Korrigiertes Zitat:</w:t>
      </w:r>
    </w:p>
    <w:p>
      <w:pPr>
        <w:jc w:val="left"/>
      </w:pPr>
      <w:r>
        <w:t>BVerfG, Urt. v. 15.01.1958, Az. 1 BvR 400/51, BVerfGE 7, 198 (205) — Lueth, abrufbar unter: https://www.bundesverfassungsgericht.de/SharedDocs/Entscheidungen/DE/1958/01/rs19580115_1bvr040051.html (abgerufen am 01.10.2025).</w:t>
      </w:r>
    </w:p>
    <w:p>
      <w:pPr>
        <w:jc w:val="left"/>
      </w:pPr>
      <w:r>
        <w:rPr>
          <w:b/>
        </w:rPr>
        <w:t>Prüfvermerk Nr. 98:</w:t>
      </w:r>
      <w:r>
        <w:t xml:space="preserve"> Zwei Vermerke — nach Korrektur aufgelöst.</w:t>
      </w:r>
    </w:p>
    <w:p/>
    <w:p>
      <w:pPr>
        <w:pStyle w:val="Heading3"/>
      </w:pPr>
      <w:r>
        <w:rPr>
          <w:rFonts w:ascii="Times New Roman" w:hAnsi="Times New Roman"/>
        </w:rPr>
        <w:t>Fundstelle 99 — Korrekte Rangfolge BFH</w:t>
      </w:r>
    </w:p>
    <w:p>
      <w:pPr>
        <w:jc w:val="left"/>
      </w:pPr>
      <w:r>
        <w:rPr>
          <w:b/>
        </w:rPr>
        <w:t>Entscheidung:</w:t>
      </w:r>
      <w:r>
        <w:t xml:space="preserve"> BFH, Urt. v. 23.01.2023, Az. IX R 8/22</w:t>
      </w:r>
    </w:p>
    <w:p>
      <w:pPr>
        <w:jc w:val="left"/>
      </w:pPr>
      <w:r>
        <w:rPr>
          <w:b/>
        </w:rPr>
        <w:t>Quellen:</w:t>
      </w:r>
      <w:r>
        <w:t xml:space="preserve"> BFHE 278, 100 | BStBl. II 2023, 456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BFH, Urt. v. 23.01.2023, Az. IX R 8/22, BFHE 278, 100 (103); BStBl. II 2023, 456, abrufbar unter: https://www.bundesfinanzhof.de/de/entscheidung/entscheidungen-online/detail/STRE202310054/ (abgerufen am 01.10.2025).</w:t>
      </w:r>
    </w:p>
    <w:p>
      <w:pPr>
        <w:jc w:val="left"/>
      </w:pPr>
      <w:r>
        <w:rPr>
          <w:b/>
        </w:rPr>
        <w:t>Prüfvermerk Nr. 99:</w:t>
      </w:r>
      <w:r>
        <w:t xml:space="preserve"> Kein Prüfvermerk. Rangfolge BFHE vor BStBl. korrekt; Semikolon zwischen den Zeitschriftenfundstellen ist zulässig.</w:t>
      </w:r>
    </w:p>
    <w:p/>
    <w:p>
      <w:pPr>
        <w:pStyle w:val="Heading3"/>
      </w:pPr>
      <w:r>
        <w:rPr>
          <w:rFonts w:ascii="Times New Roman" w:hAnsi="Times New Roman"/>
        </w:rPr>
        <w:t>Fundstelle 100 — BAG Mehrfach-Fundstelle vollständig</w:t>
      </w:r>
    </w:p>
    <w:p>
      <w:pPr>
        <w:jc w:val="left"/>
      </w:pPr>
      <w:r>
        <w:rPr>
          <w:b/>
        </w:rPr>
        <w:t>Entscheidung:</w:t>
      </w:r>
      <w:r>
        <w:t xml:space="preserve"> BAG, Urt. v. 27.01.2022, Az. 8 AZR 280/20</w:t>
      </w:r>
    </w:p>
    <w:p>
      <w:pPr>
        <w:jc w:val="left"/>
      </w:pPr>
      <w:r>
        <w:rPr>
          <w:b/>
        </w:rPr>
        <w:t>Quellen:</w:t>
      </w:r>
      <w:r>
        <w:t xml:space="preserve"> BAGE 172, 111 | NZA 2022, 841 | dejure.org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BAG, Urt. v. 27.01.2022, Az. 8 AZR 280/20, BAGE 172, 111 (Rn. 28), NZA 2022, 841 (843), abrufbar unter: https://dejure.org/2022,6002 (abgerufen am 01.10.2025).</w:t>
      </w:r>
    </w:p>
    <w:p>
      <w:pPr>
        <w:jc w:val="left"/>
      </w:pPr>
      <w:r>
        <w:rPr>
          <w:b/>
        </w:rPr>
        <w:t>Prüfvermerk Nr. 100:</w:t>
      </w:r>
      <w:r>
        <w:t xml:space="preserve"> Kein Prüfvermerk. Fundstelle 100 von 100. Pruefkorpus vollständig.</w:t>
      </w:r>
    </w:p>
    <w:p/>
    <w:p>
      <w:pPr>
        <w:pStyle w:val="Heading2"/>
      </w:pPr>
      <w:r>
        <w:rPr>
          <w:rFonts w:ascii="Times New Roman" w:hAnsi="Times New Roman"/>
        </w:rPr>
        <w:t>C. Rangfolge-Tabelle nach Gerichtsbarkeit</w:t>
      </w:r>
    </w:p>
    <w:p>
      <w:pPr>
        <w:pStyle w:val="Heading3"/>
      </w:pPr>
      <w:r>
        <w:rPr>
          <w:rFonts w:ascii="Times New Roman" w:hAnsi="Times New Roman"/>
        </w:rPr>
        <w:t>Zivilrecht / BGH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Rang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BGHZ (Zivilsachen) / BGHSt (Strafsachen)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NJW / JZ / AcP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MDR / ZIP / WM / GRUR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bundesgerichtshof.de (URL)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dejure.org (URL)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BeckRS (nur mit Lizenz)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Verfassungsrecht / BVerfG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Rang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BVerfGE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NJW / JZ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NVwZ / DoeV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bundesverfassungsgericht.de (URL)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dejure.org (URL)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BeckRS (nur mit Lizenz)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Steuerrecht / BFH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Rang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BFHE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BStBl. II (bei Grundsatzentscheidungen)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DStR / DStRE / FR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bundesfinanzhof.de (URL)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BeckRS (nur mit Lizenz)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Verwaltungsrecht / BVerwG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Rang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BVerwGE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NVwZ / DoeV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bverwg.de (URL)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dejure.org (URL)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BeckRS (nur mit Lizenz)</w:t>
            </w:r>
          </w:p>
        </w:tc>
      </w:tr>
    </w:tbl>
    <w:p/>
    <w:p>
      <w:pPr>
        <w:jc w:val="left"/>
      </w:pPr>
      <w:r>
        <w:rPr>
          <w:i/>
        </w:rPr>
        <w:t>Pruefkorpus-Abschnitt Mehrfach-Fundstellen: Fundstellen 96–100 (Abschluss des 100-Fundstellen-Pruefkorpus). Stand: Oktober 2025.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