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13 — Internet-URL-Pflicht und Archivierung</w:t>
      </w:r>
    </w:p>
    <w:p>
      <w:pPr>
        <w:jc w:val="left"/>
      </w:pPr>
      <w:r>
        <w:rPr>
          <w:b/>
        </w:rPr>
        <w:t>Kanzleihandbuch Zitierweise v4.0 — URL-Standard</w:t>
      </w:r>
    </w:p>
    <w:p>
      <w:pPr>
        <w:jc w:val="left"/>
      </w:pPr>
      <w:r>
        <w:rPr>
          <w:b/>
        </w:rPr>
        <w:t>Stand: Oktober 2025</w:t>
      </w:r>
    </w:p>
    <w:p/>
    <w:p>
      <w:pPr>
        <w:pStyle w:val="Heading2"/>
      </w:pPr>
      <w:r>
        <w:rPr>
          <w:rFonts w:ascii="Times New Roman" w:hAnsi="Times New Roman"/>
        </w:rPr>
        <w:t>A. URL-Pflicht</w:t>
      </w:r>
    </w:p>
    <w:p>
      <w:pPr>
        <w:jc w:val="left"/>
      </w:pPr>
      <w:r>
        <w:t>Gemäß Hauszitierregel C.1 ist bei jeder Entscheidung, die frei online zugänglich ist, die URL anzugeben. Quellen, die diese Pflicht auslösen:</w:t>
      </w:r>
    </w:p>
    <w:p>
      <w:pPr>
        <w:pStyle w:val="ListBullet"/>
      </w:pPr>
      <w:r>
        <w:t>dejure.org (Rechtsprechungsnachweise, z.T. Volltext)</w:t>
      </w:r>
    </w:p>
    <w:p>
      <w:pPr>
        <w:pStyle w:val="ListBullet"/>
      </w:pPr>
      <w:r>
        <w:t>openjur.de (Volltext OLG, LG, BSG, BAG u.a.)</w:t>
      </w:r>
    </w:p>
    <w:p>
      <w:pPr>
        <w:pStyle w:val="ListBullet"/>
      </w:pPr>
      <w:r>
        <w:t>bundesgerichtshof.de (amtlicher BGH-Server)</w:t>
      </w:r>
    </w:p>
    <w:p>
      <w:pPr>
        <w:pStyle w:val="ListBullet"/>
      </w:pPr>
      <w:r>
        <w:t>bundesverfassungsgericht.de (amtlicher BVerfG-Server)</w:t>
      </w:r>
    </w:p>
    <w:p>
      <w:pPr>
        <w:pStyle w:val="ListBullet"/>
      </w:pPr>
      <w:r>
        <w:t>bundesfinanzhof.de (amtlicher BFH-Server)</w:t>
      </w:r>
    </w:p>
    <w:p>
      <w:pPr>
        <w:pStyle w:val="ListBullet"/>
      </w:pPr>
      <w:r>
        <w:t>bverwg.de (amtlicher BVerwG-Server)</w:t>
      </w:r>
    </w:p>
    <w:p>
      <w:pPr>
        <w:pStyle w:val="ListBullet"/>
      </w:pPr>
      <w:r>
        <w:t>bsg.bund.de (amtlicher BSG-Server)</w:t>
      </w:r>
    </w:p>
    <w:p>
      <w:pPr>
        <w:pStyle w:val="ListBullet"/>
      </w:pPr>
      <w:r>
        <w:t>bundesarbeitsgericht.de (amtlicher BAG-Server)</w:t>
      </w:r>
    </w:p>
    <w:p>
      <w:pPr>
        <w:pStyle w:val="ListBullet"/>
      </w:pPr>
      <w:r>
        <w:t>eur-lex.europa.eu (EuGH, EuG — EU-Recht)</w:t>
      </w:r>
    </w:p>
    <w:p/>
    <w:p>
      <w:pPr>
        <w:pStyle w:val="Heading2"/>
      </w:pPr>
      <w:r>
        <w:rPr>
          <w:rFonts w:ascii="Times New Roman" w:hAnsi="Times New Roman"/>
        </w:rPr>
        <w:t>B. URL-Format</w:t>
      </w:r>
    </w:p>
    <w:p>
      <w:pPr>
        <w:jc w:val="left"/>
      </w:pPr>
      <w:r>
        <w:rPr>
          <w:b/>
        </w:rPr>
        <w:t>Standard-Format:</w:t>
      </w:r>
    </w:p>
    <w:p>
      <w:pPr>
        <w:jc w:val="left"/>
      </w:pPr>
      <w:r>
        <w:t>```</w:t>
      </w:r>
    </w:p>
    <w:p>
      <w:pPr>
        <w:jc w:val="left"/>
      </w:pPr>
      <w:r>
        <w:t>abrufbar unter: [URL] (abgerufen am TT.MM.JJJJ).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Mit Archivlink:</w:t>
      </w:r>
    </w:p>
    <w:p>
      <w:pPr>
        <w:jc w:val="left"/>
      </w:pPr>
      <w:r>
        <w:t>```</w:t>
      </w:r>
    </w:p>
    <w:p>
      <w:pPr>
        <w:jc w:val="left"/>
      </w:pPr>
      <w:r>
        <w:t>abrufbar unter: [URL] (abgerufen am TT.MM.JJJJ; archiviert unter: https://web.archive.org/web/[TIMESTAMP]/[URL]).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C. Stabilitaetsstufen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Stabilität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Archivlink erforderlich?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bundesgerichtshof.de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Sehr hoch (staatlich)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 — zulässig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bundesverfassungsgericht.de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Sehr hoch (staatlich)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 — zulässig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bundesfinanzhof.de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Sehr hoch (staatlich)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 — zulässig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bverwg.de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Sehr hoch (staatlich)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 — zulässig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eur-lex.europa.eu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Sehr hoch (EU-amtlich)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 — zulässig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dejure.org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 (stabil, 15+ Jahre)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Empfohlen, nicht zwingend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openjur.de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 (privates Projekt)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Empfohlen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Sonstige private Server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 bis 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— Pflicht (Kategorie B)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D. Wayback Machine — Archivierungsformat</w:t>
      </w:r>
    </w:p>
    <w:p>
      <w:pPr>
        <w:jc w:val="left"/>
      </w:pPr>
      <w:r>
        <w:rPr>
          <w:b/>
        </w:rPr>
        <w:t>Archivlink-Format:</w:t>
      </w:r>
    </w:p>
    <w:p>
      <w:pPr>
        <w:jc w:val="left"/>
      </w:pPr>
      <w:r>
        <w:t>```</w:t>
      </w:r>
    </w:p>
    <w:p>
      <w:pPr>
        <w:jc w:val="left"/>
      </w:pPr>
      <w:r>
        <w:t>https://web.archive.org/web/[14-stelliger-Timestamp]/[original-URL]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Timestamp:</w:t>
      </w:r>
      <w:r>
        <w:t xml:space="preserve"> JJJJMMTTHHMMSSS (z.B. 20250901000000 für 01.09.2025 00:00:00)</w:t>
      </w:r>
    </w:p>
    <w:p>
      <w:pPr>
        <w:jc w:val="left"/>
      </w:pPr>
      <w:r>
        <w:rPr>
          <w:b/>
        </w:rPr>
        <w:t>Beispiel:</w:t>
      </w:r>
    </w:p>
    <w:p>
      <w:pPr>
        <w:jc w:val="left"/>
      </w:pPr>
      <w:r>
        <w:t>```</w:t>
      </w:r>
    </w:p>
    <w:p>
      <w:pPr>
        <w:jc w:val="left"/>
      </w:pPr>
      <w:r>
        <w:t>abrufbar unter: https://openjur.de/u/2312345.html (abgerufen am 01.10.2025; archiviert unter: https://web.archive.org/web/20250901000000/https://openjur.de/u/2312345.html).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E. URLs in Druckerzeugnissen</w:t>
      </w:r>
    </w:p>
    <w:p>
      <w:pPr>
        <w:jc w:val="left"/>
      </w:pPr>
      <w:r>
        <w:t>In Schriftsaetzen und Handbuchdruckversionen werden URLs vollständig ausgeschrieben. Ein QR-Code kann ergänzt werden. Bei sehr langen URLs ist ein URL-Shortener zulässig, sofern der Link dauerhaft stabil ist (kanzleiinternes Linkmanagement empfohlen).</w:t>
      </w:r>
    </w:p>
    <w:p/>
    <w:p>
      <w:pPr>
        <w:pStyle w:val="Heading2"/>
      </w:pPr>
      <w:r>
        <w:rPr>
          <w:rFonts w:ascii="Times New Roman" w:hAnsi="Times New Roman"/>
        </w:rPr>
        <w:t>F. Prüfpunkte URL-Audit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Pruefung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URL erreichbar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Manuell oder automatisiert testen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HTTPS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Nur HTTPS-URLs (kein HTTP)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 Redirect-Loop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Direktlink, kein Weiterleitung auf Suchseite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Abrufdatum vorhanden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Format TT.MM.JJJJ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Archivlink (wenn erford.)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Wayback-Machine-Link geprüft</w:t>
            </w:r>
          </w:p>
        </w:tc>
      </w:tr>
    </w:tbl>
    <w:p/>
    <w:p>
      <w:pPr>
        <w:jc w:val="left"/>
      </w:pPr>
      <w:r>
        <w:rPr>
          <w:i/>
        </w:rPr>
        <w:t>Kanzleihandbuch Zitierweise v4.0 — URL-Standard. Stand: Oktober 2025.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