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Fussnoten-Format: Langzitate, Kurzzitate, Wiederholungszitate</w:t>
      </w:r>
    </w:p>
    <w:p>
      <w:pPr>
        <w:jc w:val="left"/>
      </w:pPr>
      <w:r>
        <w:rPr>
          <w:b/>
        </w:rPr>
        <w:t>Kanzleihandbuch Zitierweise v4.0 — Fussnoten-Standard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Langzitat (Erstnennung / Vollbeleg)</w:t>
      </w:r>
    </w:p>
    <w:p>
      <w:pPr>
        <w:jc w:val="left"/>
      </w:pPr>
      <w:r>
        <w:t>Das Langzitat wird bei der ersten Erwähnung einer Quelle verwendet. Es enthalt alle Pflichtangaben.</w:t>
      </w:r>
    </w:p>
    <w:p>
      <w:pPr>
        <w:pStyle w:val="Heading3"/>
      </w:pPr>
      <w:r>
        <w:rPr>
          <w:rFonts w:ascii="Times New Roman" w:hAnsi="Times New Roman"/>
        </w:rPr>
        <w:t>A.1 Rechtsprechung — Langzitat</w:t>
      </w:r>
    </w:p>
    <w:p>
      <w:pPr>
        <w:jc w:val="left"/>
      </w:pPr>
      <w:r>
        <w:t>```</w:t>
      </w:r>
    </w:p>
    <w:p>
      <w:pPr>
        <w:jc w:val="left"/>
      </w:pPr>
      <w:r>
        <w:t>BGH, Urt. v. 21.12.2021, Az. VI ZR 48/21, BGHZ 232, 133 (Rn. 18), NJW 2022,</w:t>
      </w:r>
    </w:p>
    <w:p>
      <w:pPr>
        <w:jc w:val="left"/>
      </w:pPr>
      <w:r>
        <w:t>1238 (1240), abrufbar unter: https://dejure.org/2021,40001 (abgerufen am 01.10.2025).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A.2 Literatur Kommentar — Langzitat</w:t>
      </w:r>
    </w:p>
    <w:p>
      <w:pPr>
        <w:jc w:val="left"/>
      </w:pPr>
      <w:r>
        <w:t>```</w:t>
      </w:r>
    </w:p>
    <w:p>
      <w:pPr>
        <w:jc w:val="left"/>
      </w:pPr>
      <w:r>
        <w:t>Gruenenberg/Ellenberger, BGB, 83. Aufl. 2024, § 242 Rn. 27.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A.3 Literatur Aufsatz — Langzitat</w:t>
      </w:r>
    </w:p>
    <w:p>
      <w:pPr>
        <w:jc w:val="left"/>
      </w:pPr>
      <w:r>
        <w:t>```</w:t>
      </w:r>
    </w:p>
    <w:p>
      <w:pPr>
        <w:jc w:val="left"/>
      </w:pPr>
      <w:r>
        <w:t>Rolfs, Massenentlassung und europarechtliche Vorgaben, NZA 2023, 713 (715).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B. Kurzzitat (Wiederholung, nicht unmittelbar folgend)</w:t>
      </w:r>
    </w:p>
    <w:p>
      <w:pPr>
        <w:jc w:val="left"/>
      </w:pPr>
      <w:r>
        <w:t>Das Kurzzitat wird bei erneuter Erwähnung einer Quelle verwendet, wenn zwischen Erst- und Wiederholungsnennung andere Quellen zitiert werden.</w:t>
      </w:r>
    </w:p>
    <w:p>
      <w:pPr>
        <w:pStyle w:val="Heading3"/>
      </w:pPr>
      <w:r>
        <w:rPr>
          <w:rFonts w:ascii="Times New Roman" w:hAnsi="Times New Roman"/>
        </w:rPr>
        <w:t>B.1 Rechtsprechung — Kurzzitat</w:t>
      </w:r>
    </w:p>
    <w:p>
      <w:pPr>
        <w:jc w:val="left"/>
      </w:pPr>
      <w:r>
        <w:t>```</w:t>
      </w:r>
    </w:p>
    <w:p>
      <w:pPr>
        <w:jc w:val="left"/>
      </w:pPr>
      <w:r>
        <w:t>BGHZ 232, 133 (Rn. 18).</w:t>
      </w:r>
    </w:p>
    <w:p>
      <w:pPr>
        <w:jc w:val="left"/>
      </w:pPr>
      <w:r>
        <w:t>BGH NJW 2022, 1238 (1240).</w:t>
      </w:r>
    </w:p>
    <w:p>
      <w:pPr>
        <w:jc w:val="left"/>
      </w:pPr>
      <w:r>
        <w:t>BVerfGE 7, 198 (205).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B.2 Literatur Kommentar — Kurzzitat</w:t>
      </w:r>
    </w:p>
    <w:p>
      <w:pPr>
        <w:jc w:val="left"/>
      </w:pPr>
      <w:r>
        <w:t>```</w:t>
      </w:r>
    </w:p>
    <w:p>
      <w:pPr>
        <w:jc w:val="left"/>
      </w:pPr>
      <w:r>
        <w:t>Gruenenberg/Ellenberger (Fn. X), § 242 Rn. 27.</w:t>
      </w:r>
    </w:p>
    <w:p>
      <w:pPr>
        <w:jc w:val="left"/>
      </w:pPr>
      <w:r>
        <w:t>```</w:t>
      </w:r>
    </w:p>
    <w:p>
      <w:pPr>
        <w:jc w:val="left"/>
      </w:pPr>
      <w:r>
        <w:t>oder</w:t>
      </w:r>
    </w:p>
    <w:p>
      <w:pPr>
        <w:jc w:val="left"/>
      </w:pPr>
      <w:r>
        <w:t>```</w:t>
      </w:r>
    </w:p>
    <w:p>
      <w:pPr>
        <w:jc w:val="left"/>
      </w:pPr>
      <w:r>
        <w:t>Gruenenberg/Ellenberger, a.a.O. (Fn. X), Rn. 27.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B.3 Literatur Aufsatz — Kurzzitat</w:t>
      </w:r>
    </w:p>
    <w:p>
      <w:pPr>
        <w:jc w:val="left"/>
      </w:pPr>
      <w:r>
        <w:t>```</w:t>
      </w:r>
    </w:p>
    <w:p>
      <w:pPr>
        <w:jc w:val="left"/>
      </w:pPr>
      <w:r>
        <w:t>Rolfs (Fn. X), NZA 2023, 713 (716).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C. Wiederholungszitat (unmittelbar folgend)</w:t>
      </w:r>
    </w:p>
    <w:p>
      <w:pPr>
        <w:jc w:val="left"/>
      </w:pPr>
      <w:r>
        <w:t>Wenn dieselbe Quelle in der unmittelbar folgenden Fussnote oder auf derselben Seite erneut zitiert wird:</w:t>
      </w:r>
    </w:p>
    <w:p>
      <w:pPr>
        <w:jc w:val="left"/>
      </w:pPr>
      <w:r>
        <w:t>```</w:t>
      </w:r>
    </w:p>
    <w:p>
      <w:pPr>
        <w:jc w:val="left"/>
      </w:pPr>
      <w:r>
        <w:t>A.a.O., Rn. 28.</w:t>
      </w:r>
    </w:p>
    <w:p>
      <w:pPr>
        <w:jc w:val="left"/>
      </w:pPr>
      <w:r>
        <w:t>```</w:t>
      </w:r>
    </w:p>
    <w:p>
      <w:pPr>
        <w:jc w:val="left"/>
      </w:pPr>
      <w:r>
        <w:t>oder</w:t>
      </w:r>
    </w:p>
    <w:p>
      <w:pPr>
        <w:jc w:val="left"/>
      </w:pPr>
      <w:r>
        <w:t>```</w:t>
      </w:r>
    </w:p>
    <w:p>
      <w:pPr>
        <w:jc w:val="left"/>
      </w:pPr>
      <w:r>
        <w:t>Ebenda, S. 1241.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Kanzleistandard:</w:t>
      </w:r>
      <w:r>
        <w:t xml:space="preserve"> a.a.O. bevorzugt. Ebenda nur in historischen oder fremdsprachigen Texten.</w:t>
      </w:r>
    </w:p>
    <w:p/>
    <w:p>
      <w:pPr>
        <w:pStyle w:val="Heading2"/>
      </w:pPr>
      <w:r>
        <w:rPr>
          <w:rFonts w:ascii="Times New Roman" w:hAnsi="Times New Roman"/>
        </w:rPr>
        <w:t>D. Fussnoten-Nummer und -Format</w:t>
      </w:r>
    </w:p>
    <w:p>
      <w:pPr>
        <w:pStyle w:val="ListBullet"/>
      </w:pPr>
      <w:r>
        <w:t xml:space="preserve">Hochgestellte Zahl im Text: </w:t>
      </w:r>
      <w:r>
        <w:t>¹</w:t>
      </w:r>
      <w:r>
        <w:t xml:space="preserve"> (Fliesstext) → Fussnote am Seitenende</w:t>
      </w:r>
    </w:p>
    <w:p>
      <w:pPr>
        <w:pStyle w:val="ListBullet"/>
      </w:pPr>
      <w:r>
        <w:t>Fussnoten-Schrift: 2 Punkt kleiner als Fliesstext</w:t>
      </w:r>
    </w:p>
    <w:p>
      <w:pPr>
        <w:pStyle w:val="ListBullet"/>
      </w:pPr>
      <w:r>
        <w:t>Punkt am Ende der Fussnote: immer</w:t>
      </w:r>
    </w:p>
    <w:p>
      <w:pPr>
        <w:pStyle w:val="ListBullet"/>
      </w:pPr>
      <w:r>
        <w:t>Fussnoten-Trennlinie: dünne Linie (kanzleiinterne Vorlage)</w:t>
      </w:r>
    </w:p>
    <w:p/>
    <w:p>
      <w:pPr>
        <w:pStyle w:val="Heading2"/>
      </w:pPr>
      <w:r>
        <w:rPr>
          <w:rFonts w:ascii="Times New Roman" w:hAnsi="Times New Roman"/>
        </w:rPr>
        <w:t>E. Besondere Situationen</w:t>
      </w:r>
    </w:p>
    <w:p>
      <w:pPr>
        <w:pStyle w:val="Heading3"/>
      </w:pPr>
      <w:r>
        <w:rPr>
          <w:rFonts w:ascii="Times New Roman" w:hAnsi="Times New Roman"/>
        </w:rPr>
        <w:t>E.1 Zwei Quellen in einer Fussnote</w:t>
      </w:r>
    </w:p>
    <w:p>
      <w:pPr>
        <w:jc w:val="left"/>
      </w:pPr>
      <w:r>
        <w:t>```</w:t>
      </w:r>
    </w:p>
    <w:p>
      <w:pPr>
        <w:jc w:val="left"/>
      </w:pPr>
      <w:r>
        <w:t>BGH NJW 2022, 1238 (1240); Gruenenberg/Ellenberger, BGB, 83. Aufl. 2024, § 242 Rn. 27.</w:t>
      </w:r>
    </w:p>
    <w:p>
      <w:pPr>
        <w:jc w:val="left"/>
      </w:pPr>
      <w:r>
        <w:t>```</w:t>
      </w:r>
    </w:p>
    <w:p>
      <w:pPr>
        <w:jc w:val="left"/>
      </w:pPr>
      <w:r>
        <w:t>Quellen werden durch Semikolon getrennt.</w:t>
      </w:r>
    </w:p>
    <w:p>
      <w:pPr>
        <w:pStyle w:val="Heading3"/>
      </w:pPr>
      <w:r>
        <w:rPr>
          <w:rFonts w:ascii="Times New Roman" w:hAnsi="Times New Roman"/>
        </w:rPr>
        <w:t>E.2 Ablehnende Literatur</w:t>
      </w:r>
    </w:p>
    <w:p>
      <w:pPr>
        <w:jc w:val="left"/>
      </w:pPr>
      <w:r>
        <w:t>```</w:t>
      </w:r>
    </w:p>
    <w:p>
      <w:pPr>
        <w:jc w:val="left"/>
      </w:pPr>
      <w:r>
        <w:t>A.A. Palandt/Ellenberger, BGB, 80. Aufl. 2021, § 242 Rn. 28.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E.3 Weitere Nachweise (m.w.N.)</w:t>
      </w:r>
    </w:p>
    <w:p>
      <w:pPr>
        <w:jc w:val="left"/>
      </w:pPr>
      <w:r>
        <w:t>```</w:t>
      </w:r>
    </w:p>
    <w:p>
      <w:pPr>
        <w:jc w:val="left"/>
      </w:pPr>
      <w:r>
        <w:t>BGH NJW 2022, 1238 (1240) m.w.N.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E.4 Mit ausführlicher Begr.</w:t>
      </w:r>
    </w:p>
    <w:p>
      <w:pPr>
        <w:jc w:val="left"/>
      </w:pPr>
      <w:r>
        <w:t>```</w:t>
      </w:r>
    </w:p>
    <w:p>
      <w:pPr>
        <w:jc w:val="left"/>
      </w:pPr>
      <w:r>
        <w:t>Rolfs, NZA 2023, 713 (715 ff. — ausfuehrlich).</w:t>
      </w:r>
    </w:p>
    <w:p>
      <w:pPr>
        <w:jc w:val="left"/>
      </w:pPr>
      <w:r>
        <w:t>```</w:t>
      </w:r>
    </w:p>
    <w:p/>
    <w:p>
      <w:pPr>
        <w:jc w:val="left"/>
      </w:pPr>
      <w:r>
        <w:rPr>
          <w:i/>
        </w:rPr>
        <w:t>Kanzleihandbuch Zitierweise v4.0 — Fussnoten-Standard.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