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Buchformate: Monographie, Festschrift, Sammelband</w:t>
      </w:r>
    </w:p>
    <w:p>
      <w:pPr>
        <w:jc w:val="left"/>
      </w:pPr>
      <w:r>
        <w:rPr>
          <w:b/>
        </w:rPr>
        <w:t>Kanzleihandbuch Zitierweise v4.0 — Buchformate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Monographie (Einzelwerk eines Autors)</w:t>
      </w:r>
    </w:p>
    <w:p>
      <w:pPr>
        <w:jc w:val="left"/>
      </w:pPr>
      <w:r>
        <w:rPr>
          <w:b/>
        </w:rPr>
        <w:t>Format Langzitat:</w:t>
      </w:r>
    </w:p>
    <w:p>
      <w:pPr>
        <w:jc w:val="left"/>
      </w:pPr>
      <w:r>
        <w:t>```</w:t>
      </w:r>
    </w:p>
    <w:p>
      <w:pPr>
        <w:jc w:val="left"/>
      </w:pPr>
      <w:r>
        <w:t>[AUTOR], [Titel], [Aufl.] [Jahr], S. [Seite].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Beispiele:</w:t>
      </w:r>
    </w:p>
    <w:p>
      <w:pPr>
        <w:pStyle w:val="ListBullet"/>
      </w:pPr>
      <w:r>
        <w:t>Larenz/Wolf, Allgemeiner Teil des BGB, 9. Aufl. 2004, S. 345.</w:t>
      </w:r>
    </w:p>
    <w:p>
      <w:pPr>
        <w:pStyle w:val="ListBullet"/>
      </w:pPr>
      <w:r>
        <w:t>Medicus/Petersen, Allgemeiner Teil des BGB, 11. Aufl. 2016, Rn. 120.</w:t>
      </w:r>
    </w:p>
    <w:p>
      <w:pPr>
        <w:jc w:val="left"/>
      </w:pPr>
      <w:r>
        <w:rPr>
          <w:b/>
        </w:rPr>
        <w:t>Hinweis:</w:t>
      </w:r>
      <w:r>
        <w:t xml:space="preserve"> Bei Reihenwerken: Angabe der Reihe und Band-Nr. optional, aber empfohlen.</w:t>
      </w:r>
    </w:p>
    <w:p/>
    <w:p>
      <w:pPr>
        <w:pStyle w:val="Heading2"/>
      </w:pPr>
      <w:r>
        <w:rPr>
          <w:rFonts w:ascii="Times New Roman" w:hAnsi="Times New Roman"/>
        </w:rPr>
        <w:t>B. Herausgeberwerk (Mehrere Autoren, Herausgeber benannt)</w:t>
      </w:r>
    </w:p>
    <w:p>
      <w:pPr>
        <w:jc w:val="left"/>
      </w:pPr>
      <w:r>
        <w:rPr>
          <w:b/>
        </w:rPr>
        <w:t>Format:</w:t>
      </w:r>
    </w:p>
    <w:p>
      <w:pPr>
        <w:jc w:val="left"/>
      </w:pPr>
      <w:r>
        <w:t>```</w:t>
      </w:r>
    </w:p>
    <w:p>
      <w:pPr>
        <w:jc w:val="left"/>
      </w:pPr>
      <w:r>
        <w:t>[AUTOR], [Titel des Beitrags], in: [HRSG.] (Hrsg.), [Gesamttitel], [Aufl.] [Jahr], S. [Seite] ([Zitierseite]).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Beispiel:</w:t>
      </w:r>
    </w:p>
    <w:p>
      <w:pPr>
        <w:jc w:val="left"/>
      </w:pPr>
      <w:r>
        <w:t>Musielak, Das Recht der Beweisführung, in: Münchener Kommentar ZPO (Hrsg.: Rauscher/Kreutzmann), Bd. 1, 6. Aufl. 2020, § 286 Rn. 12.</w:t>
      </w:r>
    </w:p>
    <w:p/>
    <w:p>
      <w:pPr>
        <w:pStyle w:val="Heading2"/>
      </w:pPr>
      <w:r>
        <w:rPr>
          <w:rFonts w:ascii="Times New Roman" w:hAnsi="Times New Roman"/>
        </w:rPr>
        <w:t>C. Festschrift</w:t>
      </w:r>
    </w:p>
    <w:p>
      <w:pPr>
        <w:jc w:val="left"/>
      </w:pPr>
      <w:r>
        <w:rPr>
          <w:b/>
        </w:rPr>
        <w:t>Format:</w:t>
      </w:r>
    </w:p>
    <w:p>
      <w:pPr>
        <w:jc w:val="left"/>
      </w:pPr>
      <w:r>
        <w:t>```</w:t>
      </w:r>
    </w:p>
    <w:p>
      <w:pPr>
        <w:jc w:val="left"/>
      </w:pPr>
      <w:r>
        <w:t>[AUTOR], [Titel des Beitrags], in: [HRSG.] (Hrsg.), Festschrift fuer [PERSON], [Jahr], S. [Seite] ([Zitierseite]).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Beispiele:</w:t>
      </w:r>
    </w:p>
    <w:p>
      <w:pPr>
        <w:pStyle w:val="ListBullet"/>
      </w:pPr>
      <w:r>
        <w:t>Hopt, Schranken der Geschäftsführerbefugnis, in: Hoffmann-Becking (Hrsg.), Festschrift für Marcus Lutter, 2000, S. 1361 (1375 f.).</w:t>
      </w:r>
    </w:p>
    <w:p>
      <w:pPr>
        <w:pStyle w:val="ListBullet"/>
      </w:pPr>
      <w:r>
        <w:t>Canaris, Gesamtunwirksamkeit und Teilgültigkeit rechtsgeschaeftlicher Regelungen, in: Beitzke (Hrsg.), Festschrift für Ernst Steindorff, 1990, S. 519 (523).</w:t>
      </w:r>
    </w:p>
    <w:p/>
    <w:p>
      <w:pPr>
        <w:pStyle w:val="Heading2"/>
      </w:pPr>
      <w:r>
        <w:rPr>
          <w:rFonts w:ascii="Times New Roman" w:hAnsi="Times New Roman"/>
        </w:rPr>
        <w:t>D. Sammelband / Tagungsband</w:t>
      </w:r>
    </w:p>
    <w:p>
      <w:pPr>
        <w:jc w:val="left"/>
      </w:pPr>
      <w:r>
        <w:rPr>
          <w:b/>
        </w:rPr>
        <w:t>Format:</w:t>
      </w:r>
    </w:p>
    <w:p>
      <w:pPr>
        <w:jc w:val="left"/>
      </w:pPr>
      <w:r>
        <w:t>```</w:t>
      </w:r>
    </w:p>
    <w:p>
      <w:pPr>
        <w:jc w:val="left"/>
      </w:pPr>
      <w:r>
        <w:t>[AUTOR], [Titel des Beitrags], in: [HRSG.] (Hrsg.), [Titel des Sammelbandes], [Jahr], S. [Seite].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Beispiel:</w:t>
      </w:r>
    </w:p>
    <w:p>
      <w:pPr>
        <w:jc w:val="left"/>
      </w:pPr>
      <w:r>
        <w:t>Koehler, AGB-Recht im Wandel, in: Kramer (Hrsg.), Aktuelle Fragen des AGB-Rechts, 2022, S. 45 (58).</w:t>
      </w:r>
    </w:p>
    <w:p/>
    <w:p>
      <w:pPr>
        <w:pStyle w:val="Heading2"/>
      </w:pPr>
      <w:r>
        <w:rPr>
          <w:rFonts w:ascii="Times New Roman" w:hAnsi="Times New Roman"/>
        </w:rPr>
        <w:t>E. Dissertation / Habilitation</w:t>
      </w:r>
    </w:p>
    <w:p>
      <w:pPr>
        <w:jc w:val="left"/>
      </w:pPr>
      <w:r>
        <w:rPr>
          <w:b/>
        </w:rPr>
        <w:t>Format:</w:t>
      </w:r>
    </w:p>
    <w:p>
      <w:pPr>
        <w:jc w:val="left"/>
      </w:pPr>
      <w:r>
        <w:t>```</w:t>
      </w:r>
    </w:p>
    <w:p>
      <w:pPr>
        <w:jc w:val="left"/>
      </w:pPr>
      <w:r>
        <w:t>[AUTOR], [Titel], Diss. [Universitaet] [Jahr] (ggf. Verlag und Erscheinungsjahr).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Beispiel:</w:t>
      </w:r>
    </w:p>
    <w:p>
      <w:pPr>
        <w:jc w:val="left"/>
      </w:pPr>
      <w:r>
        <w:t>Pohlmann, Zitierpflichten im digitalen Zeitalter, Diss. HU Berlin 2023, S. 112.</w:t>
      </w:r>
    </w:p>
    <w:p/>
    <w:p>
      <w:pPr>
        <w:pStyle w:val="Heading2"/>
      </w:pPr>
      <w:r>
        <w:rPr>
          <w:rFonts w:ascii="Times New Roman" w:hAnsi="Times New Roman"/>
        </w:rPr>
        <w:t>F. Gemeinschaftskommentar mit vielen Bearbeitern</w:t>
      </w:r>
    </w:p>
    <w:p>
      <w:pPr>
        <w:jc w:val="left"/>
      </w:pPr>
      <w:r>
        <w:t>Wenn der Kommentar so viele Bearbeiter hat, dass Einzelnennung unpraktisch ist, wird der Kurztitel des Kommentars mit Bearbeiter angegeben:</w:t>
      </w:r>
    </w:p>
    <w:p>
      <w:pPr>
        <w:jc w:val="left"/>
      </w:pPr>
      <w:r>
        <w:rPr>
          <w:b/>
        </w:rPr>
        <w:t>Format:</w:t>
      </w:r>
    </w:p>
    <w:p>
      <w:pPr>
        <w:jc w:val="left"/>
      </w:pPr>
      <w:r>
        <w:t>```</w:t>
      </w:r>
    </w:p>
    <w:p>
      <w:pPr>
        <w:jc w:val="left"/>
      </w:pPr>
      <w:r>
        <w:t>[KURZTITEL]/[BEARBEITER], [Paragraph] Rn. [Nr.].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Beispiele:</w:t>
      </w:r>
    </w:p>
    <w:p>
      <w:pPr>
        <w:pStyle w:val="ListBullet"/>
      </w:pPr>
      <w:r>
        <w:t>MuKoBGB/Busche, § 145 Rn. 10.</w:t>
      </w:r>
    </w:p>
    <w:p>
      <w:pPr>
        <w:pStyle w:val="ListBullet"/>
      </w:pPr>
      <w:r>
        <w:t>KK-StPO/Schneider, § 152 Rn. 7.</w:t>
      </w:r>
    </w:p>
    <w:p>
      <w:pPr>
        <w:pStyle w:val="ListBullet"/>
      </w:pPr>
      <w:r>
        <w:t>BeckOK BGB/Sutschet, § 241 Rn. 10.</w:t>
      </w:r>
    </w:p>
    <w:p/>
    <w:p>
      <w:pPr>
        <w:jc w:val="left"/>
      </w:pPr>
      <w:r>
        <w:rPr>
          <w:i/>
        </w:rPr>
        <w:t>Kanzleihandbuch Zitierweise v4.0 — Buchformate.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