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Altzitate Palandt: Paragraphengeruest, Migration und Kenntlichmachung</w:t>
      </w:r>
    </w:p>
    <w:p>
      <w:pPr>
        <w:jc w:val="left"/>
      </w:pPr>
      <w:r>
        <w:rPr>
          <w:b/>
        </w:rPr>
        <w:t>Kanzleihandbuch Zitierweise v4.0 — Altzitat-Regelung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Problem: Altzitate in Bestandsschriftsätzen</w:t>
      </w:r>
    </w:p>
    <w:p>
      <w:pPr>
        <w:jc w:val="left"/>
      </w:pPr>
      <w:r>
        <w:t>Schriftsätze und Kanzleinotizen aus dem Zeitraum 2020–2021 enthalten Palandt-Zitate, die auf alte Randnummern und Paragraphenstrukturen verweisen. Ab der 81. Auflage (2022) wurde das Paragraphengeruest teilweise überarbeitet; Randnummern können abweichen.</w:t>
      </w:r>
    </w:p>
    <w:p/>
    <w:p>
      <w:pPr>
        <w:pStyle w:val="Heading2"/>
      </w:pPr>
      <w:r>
        <w:rPr>
          <w:rFonts w:ascii="Times New Roman" w:hAnsi="Times New Roman"/>
        </w:rPr>
        <w:t>B. Regelung für Altzitate</w:t>
      </w:r>
    </w:p>
    <w:p>
      <w:pPr>
        <w:pStyle w:val="Heading3"/>
      </w:pPr>
      <w:r>
        <w:rPr>
          <w:rFonts w:ascii="Times New Roman" w:hAnsi="Times New Roman"/>
        </w:rPr>
        <w:t>B.1 Altzitat bleibt bei historischen Vorgängen</w:t>
      </w:r>
    </w:p>
    <w:p>
      <w:pPr>
        <w:jc w:val="left"/>
      </w:pPr>
      <w:r>
        <w:t xml:space="preserve">Wenn ein Schriftsatz aus dem Jahr 2020 oder früher einen Palandt-Eintrag enthält und nicht neu erstellt wird, bleibt das Altzitat unverändert. Es ist mit dem Zusatz </w:t>
      </w:r>
      <w:r>
        <w:rPr>
          <w:b/>
        </w:rPr>
        <w:t>[Altzitat — Palandt 80. Aufl. 2021]</w:t>
      </w:r>
      <w:r>
        <w:t xml:space="preserve"> kenntlich zu machen, wenn der Schriftsatz in aktuelle Korrespondenz übernommen wird.</w:t>
      </w:r>
    </w:p>
    <w:p>
      <w:pPr>
        <w:pStyle w:val="Heading3"/>
      </w:pPr>
      <w:r>
        <w:rPr>
          <w:rFonts w:ascii="Times New Roman" w:hAnsi="Times New Roman"/>
        </w:rPr>
        <w:t>B.2 Altzitat wird in aktuellem Schriftsatz übernommen</w:t>
      </w:r>
    </w:p>
    <w:p>
      <w:pPr>
        <w:jc w:val="left"/>
      </w:pPr>
      <w:r>
        <w:t>Wenn ein Altzitat in einen neuen Schriftsatz kopiert wird, ist zu prüfen, ob:</w:t>
      </w:r>
    </w:p>
    <w:p>
      <w:pPr>
        <w:pStyle w:val="ListNumber"/>
      </w:pPr>
      <w:r>
        <w:t>Die Aussage inhaltlich unverändert geblieben ist (Gruenenberg aktuell).</w:t>
      </w:r>
    </w:p>
    <w:p>
      <w:pPr>
        <w:pStyle w:val="ListNumber"/>
      </w:pPr>
      <w:r>
        <w:t>Randnummern in der neuen Auflage übereinstimmen.</w:t>
      </w:r>
    </w:p>
    <w:p>
      <w:pPr>
        <w:pStyle w:val="ListNumber"/>
      </w:pPr>
      <w:r>
        <w:t>Das Zitat auf die aktuelle Auflage zu aktualisieren ist.</w:t>
      </w:r>
    </w:p>
    <w:p>
      <w:pPr>
        <w:jc w:val="left"/>
      </w:pPr>
      <w:r>
        <w:t>Empfehlung: Update auf Gruenenberg, sofern Aussage inhaltlich unverändert.</w:t>
      </w:r>
    </w:p>
    <w:p/>
    <w:p>
      <w:pPr>
        <w:pStyle w:val="Heading2"/>
      </w:pPr>
      <w:r>
        <w:rPr>
          <w:rFonts w:ascii="Times New Roman" w:hAnsi="Times New Roman"/>
        </w:rPr>
        <w:t>C. Paragraphengeruest BGB — relevante Verschiebungen</w:t>
      </w:r>
    </w:p>
    <w:p>
      <w:pPr>
        <w:jc w:val="left"/>
      </w:pPr>
      <w:r>
        <w:t>Das BGB selbst hat durch das Gesetz zur Reform des Schuldrechts 2002 und spätere Reformen wesentliche Verschiebungen erfahren. Für das Kanzleihandbuch relevant sind folgende Bereiche: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Alte Systematik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Neue Systematik (ab SchRMG 2002)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459 ff. BGB (alt)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434 ff.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631 ff. BGB (alt)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631 ff. BGB (weitgehend unverändert)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276 BGB — Verschuldensmassstab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Erweiterung durch § 280 ff.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Leistungsstorung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Unmoglichkeitslehre (alt)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275, 280, 323 BGB</w:t>
            </w:r>
          </w:p>
        </w:tc>
      </w:tr>
    </w:tbl>
    <w:p>
      <w:pPr>
        <w:jc w:val="left"/>
      </w:pPr>
      <w:r>
        <w:t xml:space="preserve">Zitate, die sich auf das BGB vor 2002 beziehen (z.B. Palandt 61. Aufl. 2002), müssen mit dem Zusatz </w:t>
      </w:r>
      <w:r>
        <w:rPr>
          <w:b/>
        </w:rPr>
        <w:t>[Zitat nach BGB a.F.]</w:t>
      </w:r>
      <w:r>
        <w:t xml:space="preserve"> versehen werden.</w:t>
      </w:r>
    </w:p>
    <w:p/>
    <w:p>
      <w:pPr>
        <w:pStyle w:val="Heading2"/>
      </w:pPr>
      <w:r>
        <w:rPr>
          <w:rFonts w:ascii="Times New Roman" w:hAnsi="Times New Roman"/>
        </w:rPr>
        <w:t>D. Prüfmatrix Altzitat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Auflagenjahr bestimmen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2022: Palandt; &gt;= 2022: Gruenenberg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Randnummer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Gleiche Rn. in Gruenenberg?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 unverändert?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Update zulässig. Nein: Altzitat behalten + Kenntlichmachung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BGB-Version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a.F. oder aktuelle Fassung?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Kenntlichmachung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[Altzitat Palandt XX. Aufl. JJJJ] wenn nicht migriert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Altzitat-Migration</w:t>
      </w:r>
    </w:p>
    <w:p>
      <w:pPr>
        <w:pStyle w:val="Heading3"/>
      </w:pPr>
      <w:r>
        <w:rPr>
          <w:rFonts w:ascii="Times New Roman" w:hAnsi="Times New Roman"/>
        </w:rPr>
        <w:t>E.1 Migration ohne Inhaltaenderung</w:t>
      </w:r>
    </w:p>
    <w:p>
      <w:pPr>
        <w:jc w:val="left"/>
      </w:pPr>
      <w:r>
        <w:rPr>
          <w:b/>
        </w:rPr>
        <w:t>Alt (Bestandsschriftsatz 2021):</w:t>
      </w:r>
    </w:p>
    <w:p>
      <w:pPr>
        <w:jc w:val="left"/>
      </w:pPr>
      <w:r>
        <w:t>Palandt/Groeneberg, BGB, 80. Aufl. 2021, § 280 Rn. 10.</w:t>
      </w:r>
    </w:p>
    <w:p>
      <w:pPr>
        <w:jc w:val="left"/>
      </w:pPr>
      <w:r>
        <w:rPr>
          <w:b/>
        </w:rPr>
        <w:t>Neu (nach Migration 2024):</w:t>
      </w:r>
    </w:p>
    <w:p>
      <w:pPr>
        <w:jc w:val="left"/>
      </w:pPr>
      <w:r>
        <w:t>Gruenenberg/Groeneberg, BGB, 83. Aufl. 2024, § 280 Rn. 10.</w:t>
      </w:r>
    </w:p>
    <w:p>
      <w:pPr>
        <w:jc w:val="left"/>
      </w:pPr>
      <w:r>
        <w:rPr>
          <w:b/>
        </w:rPr>
        <w:t>Prüfvermerk:</w:t>
      </w:r>
      <w:r>
        <w:t xml:space="preserve"> Keine Inhaltaenderung. Migration durchgeführt.</w:t>
      </w:r>
    </w:p>
    <w:p/>
    <w:p>
      <w:pPr>
        <w:pStyle w:val="Heading3"/>
      </w:pPr>
      <w:r>
        <w:rPr>
          <w:rFonts w:ascii="Times New Roman" w:hAnsi="Times New Roman"/>
        </w:rPr>
        <w:t>E.2 Migration mit Randnummer-Verschiebung</w:t>
      </w:r>
    </w:p>
    <w:p>
      <w:pPr>
        <w:jc w:val="left"/>
      </w:pPr>
      <w:r>
        <w:rPr>
          <w:b/>
        </w:rPr>
        <w:t>Alt:</w:t>
      </w:r>
    </w:p>
    <w:p>
      <w:pPr>
        <w:jc w:val="left"/>
      </w:pPr>
      <w:r>
        <w:t>Palandt/Bassenge, BGB, 79. Aufl. 2020, § 1147 Rn. 3.</w:t>
      </w:r>
    </w:p>
    <w:p>
      <w:pPr>
        <w:jc w:val="left"/>
      </w:pPr>
      <w:r>
        <w:rPr>
          <w:b/>
        </w:rPr>
        <w:t>Pruefung:</w:t>
      </w:r>
      <w:r>
        <w:t xml:space="preserve"> In Gruenenberg 83. Aufl. 2024 ist § 1147 Rn. 3 unverändert.</w:t>
      </w:r>
    </w:p>
    <w:p>
      <w:pPr>
        <w:jc w:val="left"/>
      </w:pPr>
      <w:r>
        <w:rPr>
          <w:b/>
        </w:rPr>
        <w:t>Neu:</w:t>
      </w:r>
    </w:p>
    <w:p>
      <w:pPr>
        <w:jc w:val="left"/>
      </w:pPr>
      <w:r>
        <w:t>Gruenenberg/Herrler, BGB, 83. Aufl. 2024, § 1147 Rn. 3.</w:t>
      </w:r>
    </w:p>
    <w:p>
      <w:pPr>
        <w:jc w:val="left"/>
      </w:pPr>
      <w:r>
        <w:rPr>
          <w:b/>
        </w:rPr>
        <w:t>Prüfvermerk:</w:t>
      </w:r>
      <w:r>
        <w:t xml:space="preserve"> Migration abgeschlossen.</w:t>
      </w:r>
    </w:p>
    <w:p/>
    <w:p>
      <w:pPr>
        <w:pStyle w:val="Heading3"/>
      </w:pPr>
      <w:r>
        <w:rPr>
          <w:rFonts w:ascii="Times New Roman" w:hAnsi="Times New Roman"/>
        </w:rPr>
        <w:t>E.3 Kein Update möglich (inhaltliche Änderung)</w:t>
      </w:r>
    </w:p>
    <w:p>
      <w:pPr>
        <w:jc w:val="left"/>
      </w:pPr>
      <w:r>
        <w:rPr>
          <w:b/>
        </w:rPr>
        <w:t>Alt:</w:t>
      </w:r>
    </w:p>
    <w:p>
      <w:pPr>
        <w:jc w:val="left"/>
      </w:pPr>
      <w:r>
        <w:t>Palandt/Sprau, BGB, 80. Aufl. 2021, § 826 Rn. 15 (alte Formulierung Sittenwidrigkeit).</w:t>
      </w:r>
    </w:p>
    <w:p>
      <w:pPr>
        <w:jc w:val="left"/>
      </w:pPr>
      <w:r>
        <w:rPr>
          <w:b/>
        </w:rPr>
        <w:t>Pruefung:</w:t>
      </w:r>
      <w:r>
        <w:t xml:space="preserve"> § 826 Rn. 15 in Gruenenberg 83. Aufl. 2024 hat andere Aussage.</w:t>
      </w:r>
    </w:p>
    <w:p>
      <w:pPr>
        <w:jc w:val="left"/>
      </w:pPr>
      <w:r>
        <w:rPr>
          <w:b/>
        </w:rPr>
        <w:t>Ergebnis:</w:t>
      </w:r>
      <w:r>
        <w:t xml:space="preserve"> Altzitat bleibt; Kenntlichmachung erforderlich.</w:t>
      </w:r>
    </w:p>
    <w:p>
      <w:pPr>
        <w:jc w:val="left"/>
      </w:pPr>
      <w:r>
        <w:rPr>
          <w:b/>
        </w:rPr>
        <w:t>Zitat mit Kenntlichmachung:</w:t>
      </w:r>
    </w:p>
    <w:p>
      <w:pPr>
        <w:jc w:val="left"/>
      </w:pPr>
      <w:r>
        <w:t xml:space="preserve">Palandt/Sprau, BGB, 80. Aufl. 2021, § 826 Rn. 15 </w:t>
      </w:r>
      <w:r>
        <w:rPr>
          <w:b/>
        </w:rPr>
        <w:t>[Altzitat — Inhalt in Gruenenberg 83. Aufl. 2024 abweichend; Pruefung erforderlich]</w:t>
      </w:r>
      <w:r>
        <w:t>.</w:t>
      </w:r>
    </w:p>
    <w:p/>
    <w:p>
      <w:pPr>
        <w:jc w:val="left"/>
      </w:pPr>
      <w:r>
        <w:rPr>
          <w:i/>
        </w:rPr>
        <w:t>Kanzleihandbuch Zitierweise v4.0 — Altzitat-Regelung.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