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EU-Recht und EuGH-Zitierung</w:t>
      </w:r>
    </w:p>
    <w:p>
      <w:pPr>
        <w:jc w:val="left"/>
      </w:pPr>
      <w:r>
        <w:rPr>
          <w:b/>
        </w:rPr>
        <w:t>Kanzleihandbuch Zitierweise v4.0 — EU-Recht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ECLI-System</w:t>
      </w:r>
    </w:p>
    <w:p>
      <w:pPr>
        <w:jc w:val="left"/>
      </w:pPr>
      <w:r>
        <w:t>Seit 2014 verwendet der EuGH (und alle EU-Gerichte) den European Case Law Identifier (ECLI). Das ECLI-System identifiziert Entscheidungen einheitlich: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ECLI:[LAND]:C:[JJJJ]:[NUMMER]</w:t>
      </w:r>
    </w:p>
    <w:p>
      <w:pPr>
        <w:jc w:val="left"/>
      </w:pPr>
      <w:r>
        <w:rPr>
          <w:b/>
        </w:rPr>
        <w:t>Beispiele:</w:t>
      </w:r>
    </w:p>
    <w:p>
      <w:pPr>
        <w:pStyle w:val="ListBullet"/>
      </w:pPr>
      <w:r>
        <w:t xml:space="preserve">EuGH: </w:t>
      </w:r>
      <w:r>
        <w:t>ECLI:EU:C:2019:1001</w:t>
      </w:r>
    </w:p>
    <w:p>
      <w:pPr>
        <w:pStyle w:val="ListBullet"/>
      </w:pPr>
      <w:r>
        <w:t xml:space="preserve">EuG: </w:t>
      </w:r>
      <w:r>
        <w:t>ECLI:EU:T:2021:500</w:t>
      </w:r>
    </w:p>
    <w:p/>
    <w:p>
      <w:pPr>
        <w:pStyle w:val="Heading2"/>
      </w:pPr>
      <w:r>
        <w:rPr>
          <w:rFonts w:ascii="Times New Roman" w:hAnsi="Times New Roman"/>
        </w:rPr>
        <w:t>B. Zitierformat EuGH</w:t>
      </w:r>
    </w:p>
    <w:p>
      <w:pPr>
        <w:pStyle w:val="Heading3"/>
      </w:pPr>
      <w:r>
        <w:rPr>
          <w:rFonts w:ascii="Times New Roman" w:hAnsi="Times New Roman"/>
        </w:rPr>
        <w:t>B.1 Langzitat</w:t>
      </w:r>
    </w:p>
    <w:p>
      <w:pPr>
        <w:jc w:val="left"/>
      </w:pPr>
      <w:r>
        <w:t>```</w:t>
      </w:r>
    </w:p>
    <w:p>
      <w:pPr>
        <w:jc w:val="left"/>
      </w:pPr>
      <w:r>
        <w:t>EuGH, Urt. v. TT.MM.JJJJ, ECLI:EU:C:JJJJ:XXX, Rs. [Aktenzeichen],</w:t>
      </w:r>
    </w:p>
    <w:p>
      <w:pPr>
        <w:jc w:val="left"/>
      </w:pPr>
      <w:r>
        <w:t>[Amtliche Sammlung falls vorhanden], NJW JJJJ, Seite, abrufbar unter:</w:t>
      </w:r>
    </w:p>
    <w:p>
      <w:pPr>
        <w:jc w:val="left"/>
      </w:pPr>
      <w:r>
        <w:t>https://eur-lex.europa.eu/legal-content/DE/TXT/?uri=CELEX:ECLI:EU:C:JJJJ:XXX</w:t>
      </w:r>
    </w:p>
    <w:p>
      <w:pPr>
        <w:jc w:val="left"/>
      </w:pPr>
      <w:r>
        <w:t>(abgerufen am TT.MM.JJJJ).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B.2 Beispiel Costa/ENEL</w:t>
      </w:r>
    </w:p>
    <w:p>
      <w:pPr>
        <w:jc w:val="left"/>
      </w:pPr>
      <w:r>
        <w:t>EuGH, Urt. v. 15.07.1964, ECLI:EU:C:1964:66, Rs. 6/64 — Costa/ENEL, Slg. 1964, 1251, NJW 1964, 2371, abrufbar unter: https://eur-lex.europa.eu/legal-content/DE/TXT/?uri=CELEX:61964CJ0006 (abgerufen am 01.10.2025).</w:t>
      </w:r>
    </w:p>
    <w:p>
      <w:pPr>
        <w:pStyle w:val="Heading3"/>
      </w:pPr>
      <w:r>
        <w:rPr>
          <w:rFonts w:ascii="Times New Roman" w:hAnsi="Times New Roman"/>
        </w:rPr>
        <w:t>B.3 Beispiel — neuere EuGH-Entscheidung ohne Slg.</w:t>
      </w:r>
    </w:p>
    <w:p>
      <w:pPr>
        <w:jc w:val="left"/>
      </w:pPr>
      <w:r>
        <w:t>EuGH, Urt. v. 13.05.2014, ECLI:EU:C:2014:317, Rs. C-131/12 — Google Spain, NJW 2014, 2257, abrufbar unter: https://eur-lex.europa.eu/legal-content/DE/TXT/?uri=CELEX:62012CJ0131 (abgerufen am 01.10.2025).</w:t>
      </w:r>
    </w:p>
    <w:p/>
    <w:p>
      <w:pPr>
        <w:pStyle w:val="Heading2"/>
      </w:pPr>
      <w:r>
        <w:rPr>
          <w:rFonts w:ascii="Times New Roman" w:hAnsi="Times New Roman"/>
        </w:rPr>
        <w:t>C. Amtliche Sammlung (Slg.)</w:t>
      </w:r>
    </w:p>
    <w:p>
      <w:pPr>
        <w:jc w:val="left"/>
      </w:pPr>
      <w:r>
        <w:t>Die amtliche Sammlung des EuGH (Sammlung der Rechtsprechung) wurde bis 2011 in Papierform veröffentlicht. Ab 2012 erfolgt die Veröffentlichung nur noch elektronisch über EUR-Lex. Bei Altentscheidungen: Slg. [Jahr], [Seite] angeben. Bei Neuentscheidungen: ECLI gemäß B.1.</w:t>
      </w:r>
    </w:p>
    <w:p/>
    <w:p>
      <w:pPr>
        <w:pStyle w:val="Heading2"/>
      </w:pPr>
      <w:r>
        <w:rPr>
          <w:rFonts w:ascii="Times New Roman" w:hAnsi="Times New Roman"/>
        </w:rPr>
        <w:t>D. Normen-Zitierung EU-Recht</w:t>
      </w:r>
    </w:p>
    <w:p>
      <w:pPr>
        <w:pStyle w:val="Heading3"/>
      </w:pPr>
      <w:r>
        <w:rPr>
          <w:rFonts w:ascii="Times New Roman" w:hAnsi="Times New Roman"/>
        </w:rPr>
        <w:t>D.1 Verordnungen</w:t>
      </w:r>
    </w:p>
    <w:p>
      <w:pPr>
        <w:jc w:val="left"/>
      </w:pPr>
      <w:r>
        <w:t>```</w:t>
      </w:r>
    </w:p>
    <w:p>
      <w:pPr>
        <w:jc w:val="left"/>
      </w:pPr>
      <w:r>
        <w:t>[VO-Kurztitel] Art. [XX] Abs. [Y] [VO-Nr./JJJJ], ABl. L [NR.] v. TT.MM.JJJJ, S. [X].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DSGVO Art. 83 Abs. 4, VO (EU) 2016/679, ABl. L 119 v. 04.05.2016, S. 1.</w:t>
      </w:r>
    </w:p>
    <w:p>
      <w:pPr>
        <w:pStyle w:val="Heading3"/>
      </w:pPr>
      <w:r>
        <w:rPr>
          <w:rFonts w:ascii="Times New Roman" w:hAnsi="Times New Roman"/>
        </w:rPr>
        <w:t>D.2 Richtlinien</w:t>
      </w:r>
    </w:p>
    <w:p>
      <w:pPr>
        <w:jc w:val="left"/>
      </w:pPr>
      <w:r>
        <w:t>```</w:t>
      </w:r>
    </w:p>
    <w:p>
      <w:pPr>
        <w:jc w:val="left"/>
      </w:pPr>
      <w:r>
        <w:t>[RL-Kurztitel] Art. [XX], RL [Nr.]/[JJJJ]/EU, ABl. L [NR.] v. TT.MM.JJJJ, S. [X].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Verbraucherrechte-RL Art. 9, RL 2011/83/EU, ABl. L 304 v. 22.11.2011, S. 64.</w:t>
      </w:r>
    </w:p>
    <w:p/>
    <w:p>
      <w:pPr>
        <w:pStyle w:val="Heading2"/>
      </w:pPr>
      <w:r>
        <w:rPr>
          <w:rFonts w:ascii="Times New Roman" w:hAnsi="Times New Roman"/>
        </w:rPr>
        <w:t>E. EUR-Lex — URL-Pflicht</w:t>
      </w:r>
    </w:p>
    <w:p>
      <w:pPr>
        <w:jc w:val="left"/>
      </w:pPr>
      <w:r>
        <w:t>EUR-Lex (https://eur-lex.europa.eu) ist die amtliche EU-Rechtsquelle. Bei EuGH-Entscheidungen und EU-Normen ist die EUR-Lex-URL Pflicht, da es sich um eine amtliche und dauerhaft stabile Quelle handelt.</w:t>
      </w:r>
    </w:p>
    <w:p/>
    <w:p>
      <w:pPr>
        <w:jc w:val="left"/>
      </w:pPr>
      <w:r>
        <w:rPr>
          <w:i/>
        </w:rPr>
        <w:t>Kanzleihandbuch Zitierweise v4.0 — EU-Recht.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