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Mandatsübernahme Pohlmann / Werkvertragsstreit Saalbau</w:t>
      </w:r>
    </w:p>
    <w:p>
      <w:pPr>
        <w:pStyle w:val="Heading2"/>
      </w:pPr>
      <w:r>
        <w:rPr>
          <w:rFonts w:ascii="Times New Roman" w:hAnsi="Times New Roman"/>
        </w:rPr>
        <w:t>Kanzleinotiz — Erstgespräch und Mandatsannahme</w:t>
      </w:r>
    </w:p>
    <w:p>
      <w:pPr>
        <w:jc w:val="left"/>
      </w:pPr>
      <w:r>
        <w:rPr>
          <w:b/>
        </w:rPr>
        <w:t>Aktenzeichen Kanzlei:</w:t>
      </w:r>
      <w:r>
        <w:t xml:space="preserve"> MR-2026-0312</w:t>
      </w:r>
    </w:p>
    <w:p>
      <w:pPr>
        <w:jc w:val="left"/>
      </w:pPr>
      <w:r>
        <w:rPr>
          <w:b/>
        </w:rPr>
        <w:t>Datum Erstgespräch:</w:t>
      </w:r>
      <w:r>
        <w:t xml:space="preserve"> 14. Januar 2026</w:t>
      </w:r>
    </w:p>
    <w:p>
      <w:pPr>
        <w:jc w:val="left"/>
      </w:pPr>
      <w:r>
        <w:rPr>
          <w:b/>
        </w:rPr>
        <w:t>Bearbeiter:</w:t>
      </w:r>
      <w:r>
        <w:t xml:space="preserve"> Dr. Mark Roosendaal, Rechtsanwalt, Rosenheim</w:t>
      </w:r>
    </w:p>
    <w:p>
      <w:pPr>
        <w:jc w:val="left"/>
      </w:pPr>
      <w:r>
        <w:rPr>
          <w:b/>
        </w:rPr>
        <w:t>Mandantin:</w:t>
      </w:r>
      <w:r>
        <w:t xml:space="preserve"> Margarete Pohlmann, geb. Hofer, geb. 17.03.1961, Riegerstraße 17, 83022 Rosenheim</w:t>
      </w:r>
    </w:p>
    <w:p>
      <w:pPr>
        <w:jc w:val="left"/>
      </w:pPr>
      <w:r>
        <w:rPr>
          <w:b/>
        </w:rPr>
        <w:t>Sachgebiet:</w:t>
      </w:r>
      <w:r>
        <w:t xml:space="preserve"> Werkvertragsrecht, Zivilprozessrecht — Klage, einstweiliger Rechtsschutz, Berufung, Revision</w:t>
      </w:r>
    </w:p>
    <w:p/>
    <w:p>
      <w:pPr>
        <w:pStyle w:val="Heading2"/>
      </w:pPr>
      <w:r>
        <w:rPr>
          <w:rFonts w:ascii="Times New Roman" w:hAnsi="Times New Roman"/>
        </w:rPr>
        <w:t>Sachverhaltsaufnahme (Kurzprotokoll Erstgespräch)</w:t>
      </w:r>
    </w:p>
    <w:p>
      <w:pPr>
        <w:jc w:val="left"/>
      </w:pPr>
      <w:r>
        <w:t>Mandantin erscheint erstmals am 14.01.2026 in der Kanzlei, begleitet von ihrer Tochter Sybille Pohlmann-Fraas. Sie berichtet:</w:t>
      </w:r>
    </w:p>
    <w:p>
      <w:pPr>
        <w:jc w:val="left"/>
      </w:pPr>
      <w:r>
        <w:t>Frau Pohlmann ist Witwe seit April 2021 (Tod ihres Ehemannes Dieter Pohlmann, Steuerfachangestellter). Sie ist alleinige Eigentümerin des Grundstücks Riegerstraße 17, 83022 Rosenheim, Flurstück 1742/4, Gemarkung Rosenheim-Mitte. Das Grundstück war im Jahr 2021 unbebaut; Frau Pohlmann entschloss sich nach dem Tod ihres Mannes, ein Einfamilienhaus zu errichten, um gemeinsam mit ihrer Tochter Sybille und deren Familie dauerhaft in Rosenheim zu wohnen.</w:t>
      </w:r>
    </w:p>
    <w:p>
      <w:pPr>
        <w:jc w:val="left"/>
      </w:pPr>
      <w:r>
        <w:t xml:space="preserve">Im März 2022 schloss Frau Pohlmann einen Werkvertrag (Bauwerkvertrag) mit der </w:t>
      </w:r>
      <w:r>
        <w:rPr>
          <w:b/>
        </w:rPr>
        <w:t>Saalbau Rosenheim GmbH</w:t>
      </w:r>
      <w:r>
        <w:t xml:space="preserve"> (Geschäftsführer: Kurt Saalbau-Eichenmüller, Hammerstraße 4, 83022 Rosenheim) über die schlüsselfertige Errichtung eines Einfamilienhauses mit Garage, Keller und Außenanlagen zum Festpreis von </w:t>
      </w:r>
      <w:r>
        <w:rPr>
          <w:b/>
        </w:rPr>
        <w:t>645.000 EUR</w:t>
      </w:r>
      <w:r>
        <w:t xml:space="preserve"> (netto), zuzüglich gesetzlicher Mehrwertsteuer. Die Fertigstellungspflicht war zum </w:t>
      </w:r>
      <w:r>
        <w:rPr>
          <w:b/>
        </w:rPr>
        <w:t>30. September 2023</w:t>
      </w:r>
      <w:r>
        <w:t xml:space="preserve"> vereinbart.</w:t>
      </w:r>
    </w:p>
    <w:p/>
    <w:p>
      <w:pPr>
        <w:pStyle w:val="Heading2"/>
      </w:pPr>
      <w:r>
        <w:rPr>
          <w:rFonts w:ascii="Times New Roman" w:hAnsi="Times New Roman"/>
        </w:rPr>
        <w:t>Konfliktstränge (Überblick)</w:t>
      </w:r>
    </w:p>
    <w:p>
      <w:pPr>
        <w:pStyle w:val="Heading3"/>
      </w:pPr>
      <w:r>
        <w:rPr>
          <w:rFonts w:ascii="Times New Roman" w:hAnsi="Times New Roman"/>
        </w:rPr>
        <w:t>Strang 1 — Kontaminierter Baugrund / Bodenaustausch</w:t>
      </w:r>
    </w:p>
    <w:p>
      <w:pPr>
        <w:jc w:val="left"/>
      </w:pPr>
      <w:r>
        <w:t>Im Zuge der Erdarbeiten (April 2022) stellte das baubegleitende Ingenieurbüro Weidinger fest, dass der Untergrund erhebliche Kontaminationen aus einer ehemaligen Tankstelle auf dem Nachbargrundstück aufweist (PAK, MKW über Prüfwerten BBodSchV). Die Mandantin behauptet, die Beklagte habe trotz Kenntnis des Verdachts keine Voruntersuchung veranlasst. Die Beklagte behauptet, die Bodenuntersuchung sei Aufgabe der Bauherrin gewesen; die Mehrkosten des Bodenaustausches (ca. 112.000 EUR) seien als Nachtrag zu vergüten.</w:t>
      </w:r>
    </w:p>
    <w:p>
      <w:pPr>
        <w:pStyle w:val="Heading3"/>
      </w:pPr>
      <w:r>
        <w:rPr>
          <w:rFonts w:ascii="Times New Roman" w:hAnsi="Times New Roman"/>
        </w:rPr>
        <w:t>Strang 2 — Werklohnabzug und Mängelrügen</w:t>
      </w:r>
    </w:p>
    <w:p>
      <w:pPr>
        <w:jc w:val="left"/>
      </w:pPr>
      <w:r>
        <w:t>Das Haus wurde am 20. März 2024 — mit über sechsmonatiger Verzögerung — abgenommen, allerdings nur mit erheblichem Vorbehalt wegen folgender Mängel:</w:t>
      </w:r>
    </w:p>
    <w:p>
      <w:pPr>
        <w:pStyle w:val="ListBullet"/>
      </w:pPr>
      <w:r>
        <w:t>Risse im Mauerwerk Kellergeschoss (zwei Querrisse, Breite bis 1,2 mm)</w:t>
      </w:r>
    </w:p>
    <w:p>
      <w:pPr>
        <w:pStyle w:val="ListBullet"/>
      </w:pPr>
      <w:r>
        <w:t>Fehlender Schallschutz Trennwand Garage/Wohnhaus (Norm DIN 4109-1 unterschritten)</w:t>
      </w:r>
    </w:p>
    <w:p>
      <w:pPr>
        <w:pStyle w:val="ListBullet"/>
      </w:pPr>
      <w:r>
        <w:t>Undichte Dachentwässerung Nordseite (Wassereinbruch Dezember 2023 nachgewiesen)</w:t>
      </w:r>
    </w:p>
    <w:p>
      <w:pPr>
        <w:pStyle w:val="ListBullet"/>
      </w:pPr>
      <w:r>
        <w:t>Mangelhafte Wärmedämmung Kellerdecke (EnEV-Anforderungen unterschritten)</w:t>
      </w:r>
    </w:p>
    <w:p>
      <w:pPr>
        <w:pStyle w:val="Heading3"/>
      </w:pPr>
      <w:r>
        <w:rPr>
          <w:rFonts w:ascii="Times New Roman" w:hAnsi="Times New Roman"/>
        </w:rPr>
        <w:t>Strang 3 — Folgemängel</w:t>
      </w:r>
    </w:p>
    <w:p>
      <w:pPr>
        <w:jc w:val="left"/>
      </w:pPr>
      <w:r>
        <w:t>Infolge der undichten Dachentwässerung kam es zwischen Oktober 2024 und Februar 2025 zu Feuchtigkeitsschäden im Erdgeschoss (Schimmelbefall Wohnzimmer/Küche, Beschädigung Parkett ca. 42 qm, Wandbelag). Diese Folgemängel waren nicht Gegenstand der ursprünglichen Klage; die Klageerweiterung nach § 264 ZPO erfolgte im Verlauf des Verfahrens.</w:t>
      </w:r>
    </w:p>
    <w:p>
      <w:pPr>
        <w:pStyle w:val="Heading3"/>
      </w:pPr>
      <w:r>
        <w:rPr>
          <w:rFonts w:ascii="Times New Roman" w:hAnsi="Times New Roman"/>
        </w:rPr>
        <w:t>Strang 4 — Vollstreckungsabwehrklage</w:t>
      </w:r>
    </w:p>
    <w:p>
      <w:pPr>
        <w:jc w:val="left"/>
      </w:pPr>
      <w:r>
        <w:t>Nach Verkündung des Urteils LG Traunstein versuchte die Beklagte, aus dem titulierten Kostenerstattungsanspruch (§ 91 ZPO, 23.800 EUR) die Vollstreckung einzuleiten. Mandantin ließ Vollstreckungsabwehrklage nach § 767 ZPO vorbereiten.</w:t>
      </w:r>
    </w:p>
    <w:p/>
    <w:p>
      <w:pPr>
        <w:pStyle w:val="Heading2"/>
      </w:pPr>
      <w:r>
        <w:rPr>
          <w:rFonts w:ascii="Times New Roman" w:hAnsi="Times New Roman"/>
        </w:rPr>
        <w:t>Streitwert (vorläufig, Stand Klageerhebung)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Werklohnabzug (Minderung BGB § 634 Nr. 3, § 638)</w:t>
            </w:r>
          </w:p>
        </w:tc>
        <w:tc>
          <w:tcPr>
            <w:tcW w:type="dxa" w:w="4536"/>
          </w:tcPr>
          <w:p>
            <w:r>
              <w:rPr>
                <w:rFonts w:ascii="Times New Roman" w:hAnsi="Times New Roman"/>
                <w:sz w:val="20"/>
              </w:rPr>
              <w:t>210.000 EUR</w:t>
            </w:r>
          </w:p>
        </w:tc>
      </w:tr>
      <w:tr>
        <w:tc>
          <w:tcPr>
            <w:tcW w:type="dxa" w:w="4536"/>
          </w:tcPr>
          <w:p>
            <w:r>
              <w:rPr>
                <w:rFonts w:ascii="Times New Roman" w:hAnsi="Times New Roman"/>
                <w:sz w:val="20"/>
              </w:rPr>
              <w:t>Schadensersatz Bodenaustausch (Mehrkosten)</w:t>
            </w:r>
          </w:p>
        </w:tc>
        <w:tc>
          <w:tcPr>
            <w:tcW w:type="dxa" w:w="4536"/>
          </w:tcPr>
          <w:p>
            <w:r>
              <w:rPr>
                <w:rFonts w:ascii="Times New Roman" w:hAnsi="Times New Roman"/>
                <w:sz w:val="20"/>
              </w:rPr>
              <w:t>112.000 EUR</w:t>
            </w:r>
          </w:p>
        </w:tc>
      </w:tr>
      <w:tr>
        <w:tc>
          <w:tcPr>
            <w:tcW w:type="dxa" w:w="4536"/>
          </w:tcPr>
          <w:p>
            <w:r>
              <w:rPr>
                <w:rFonts w:ascii="Times New Roman" w:hAnsi="Times New Roman"/>
                <w:sz w:val="20"/>
              </w:rPr>
              <w:t>Mangelbeseitigungskosten (SV-Schätzung)</w:t>
            </w:r>
          </w:p>
        </w:tc>
        <w:tc>
          <w:tcPr>
            <w:tcW w:type="dxa" w:w="4536"/>
          </w:tcPr>
          <w:p>
            <w:r>
              <w:rPr>
                <w:rFonts w:ascii="Times New Roman" w:hAnsi="Times New Roman"/>
                <w:sz w:val="20"/>
              </w:rPr>
              <w:t>87.000 EUR</w:t>
            </w:r>
          </w:p>
        </w:tc>
      </w:tr>
      <w:tr>
        <w:tc>
          <w:tcPr>
            <w:tcW w:type="dxa" w:w="4536"/>
          </w:tcPr>
          <w:p>
            <w:r>
              <w:rPr>
                <w:rFonts w:ascii="Times New Roman" w:hAnsi="Times New Roman"/>
                <w:sz w:val="20"/>
              </w:rPr>
              <w:t>Verzögerungsschaden (Miete Übergangswohnung)</w:t>
            </w:r>
          </w:p>
        </w:tc>
        <w:tc>
          <w:tcPr>
            <w:tcW w:type="dxa" w:w="4536"/>
          </w:tcPr>
          <w:p>
            <w:r>
              <w:rPr>
                <w:rFonts w:ascii="Times New Roman" w:hAnsi="Times New Roman"/>
                <w:sz w:val="20"/>
              </w:rPr>
              <w:t>38.400 EUR</w:t>
            </w:r>
          </w:p>
        </w:tc>
      </w:tr>
      <w:tr>
        <w:tc>
          <w:tcPr>
            <w:tcW w:type="dxa" w:w="4536"/>
          </w:tcPr>
          <w:p>
            <w:r>
              <w:rPr>
                <w:rFonts w:ascii="Times New Roman" w:hAnsi="Times New Roman"/>
                <w:sz w:val="20"/>
              </w:rPr>
              <w:t>Folgemängel (Klageerweiterung)</w:t>
            </w:r>
          </w:p>
        </w:tc>
        <w:tc>
          <w:tcPr>
            <w:tcW w:type="dxa" w:w="4536"/>
          </w:tcPr>
          <w:p>
            <w:r>
              <w:rPr>
                <w:rFonts w:ascii="Times New Roman" w:hAnsi="Times New Roman"/>
                <w:sz w:val="20"/>
              </w:rPr>
              <w:t>237.000 EUR</w:t>
            </w:r>
          </w:p>
        </w:tc>
      </w:tr>
      <w:tr>
        <w:tc>
          <w:tcPr>
            <w:tcW w:type="dxa" w:w="4536"/>
          </w:tcPr>
          <w:p>
            <w:r>
              <w:rPr>
                <w:rFonts w:ascii="Times New Roman" w:hAnsi="Times New Roman"/>
                <w:b/>
                <w:sz w:val="20"/>
              </w:rPr>
              <w:t>Gesamtstreitwert</w:t>
            </w:r>
          </w:p>
        </w:tc>
        <w:tc>
          <w:tcPr>
            <w:tcW w:type="dxa" w:w="4536"/>
          </w:tcPr>
          <w:p>
            <w:r>
              <w:rPr>
                <w:rFonts w:ascii="Times New Roman" w:hAnsi="Times New Roman"/>
                <w:b/>
                <w:sz w:val="20"/>
              </w:rPr>
              <w:t>684.400 EUR</w:t>
            </w:r>
          </w:p>
        </w:tc>
      </w:tr>
    </w:tbl>
    <w:p>
      <w:pPr>
        <w:jc w:val="left"/>
      </w:pPr>
      <w:r>
        <w:t>Der Streitwert liegt über der Zuständigkeitsgrenze des Amtsgerichts (§ 23 Nr. 1 GVG: 5.000 EUR); zuständig ist das Landgericht Traunstein (§ 71 Abs. 1 GVG: Streitwert über 5.000 EUR, örtliche Zuständigkeit nach § 29a ZPO: Ort der Belegenheit des Grundstücks).</w:t>
      </w:r>
    </w:p>
    <w:p/>
    <w:p>
      <w:pPr>
        <w:pStyle w:val="Heading2"/>
      </w:pPr>
      <w:r>
        <w:rPr>
          <w:rFonts w:ascii="Times New Roman" w:hAnsi="Times New Roman"/>
        </w:rPr>
        <w:t>Mandatsbeschränkung und Vollmacht</w:t>
      </w:r>
    </w:p>
    <w:p>
      <w:pPr>
        <w:jc w:val="left"/>
      </w:pPr>
      <w:r>
        <w:t>Mandantin erteilt umfassende Prozessvollmacht (§ 81 ZPO) mit Vollmacht zur:</w:t>
      </w:r>
    </w:p>
    <w:p>
      <w:pPr>
        <w:pStyle w:val="ListBullet"/>
      </w:pPr>
      <w:r>
        <w:t>Klageerhebung und Klagerücknahme (§ 269 ZPO)</w:t>
      </w:r>
    </w:p>
    <w:p>
      <w:pPr>
        <w:pStyle w:val="ListBullet"/>
      </w:pPr>
      <w:r>
        <w:t>Abschluss von Vergleichen</w:t>
      </w:r>
    </w:p>
    <w:p>
      <w:pPr>
        <w:pStyle w:val="ListBullet"/>
      </w:pPr>
      <w:r>
        <w:t>Einlegung von Rechtsmitteln (§§ 511, 543 ZPO)</w:t>
      </w:r>
    </w:p>
    <w:p>
      <w:pPr>
        <w:pStyle w:val="ListBullet"/>
      </w:pPr>
      <w:r>
        <w:t>Erwirkung und Abwendung von einstweiligen Verfügungen</w:t>
      </w:r>
    </w:p>
    <w:p>
      <w:pPr>
        <w:pStyle w:val="ListBullet"/>
      </w:pPr>
      <w:r>
        <w:t>Vollstreckungsmaßnahmen</w:t>
      </w:r>
    </w:p>
    <w:p>
      <w:pPr>
        <w:jc w:val="left"/>
      </w:pPr>
      <w:r>
        <w:rPr>
          <w:b/>
        </w:rPr>
        <w:t>Honorar:</w:t>
      </w:r>
      <w:r>
        <w:t xml:space="preserve"> Vergütungsvereinbarung nach RVG (Anlage separat); Vorschuss 15.000 EUR.</w:t>
      </w:r>
    </w:p>
    <w:p/>
    <w:p>
      <w:pPr>
        <w:pStyle w:val="Heading2"/>
      </w:pPr>
      <w:r>
        <w:rPr>
          <w:rFonts w:ascii="Times New Roman" w:hAnsi="Times New Roman"/>
        </w:rPr>
        <w:t>Nächste Schritte</w:t>
      </w:r>
    </w:p>
    <w:p>
      <w:pPr>
        <w:pStyle w:val="ListNumber"/>
      </w:pPr>
      <w:r>
        <w:t>Mahnbescheidsantrag beim Mahngericht Coburg (§ 689 ZPO) als Fristwahrungsmaßnahme — 15.01.2026</w:t>
      </w:r>
    </w:p>
    <w:p>
      <w:pPr>
        <w:pStyle w:val="ListNumber"/>
      </w:pPr>
      <w:r>
        <w:t>Aktenstudium Baugenehmigung, Bauplan, Werkvertrag, Abnahmeprotokoll</w:t>
      </w:r>
    </w:p>
    <w:p>
      <w:pPr>
        <w:pStyle w:val="ListNumber"/>
      </w:pPr>
      <w:r>
        <w:t>Sachverständigengutachten beauftragen (Baurat Zeyer, München)</w:t>
      </w:r>
    </w:p>
    <w:p>
      <w:pPr>
        <w:pStyle w:val="ListNumber"/>
      </w:pPr>
      <w:r>
        <w:t>Klageschrift LG Traunstein — Fristablauf Verjährung § 634a BGB beachten (Neubau: 5 Jahre, § 634a Abs. 1 Nr. 2 BGB)</w:t>
      </w:r>
    </w:p>
    <w:p>
      <w:pPr>
        <w:jc w:val="left"/>
      </w:pPr>
      <w:r>
        <w:t xml:space="preserve">Bearbeiter: </w:t>
      </w:r>
      <w:r>
        <w:rPr>
          <w:b/>
        </w:rPr>
        <w:t>RA Dr. Mark Roosendaal</w:t>
      </w:r>
      <w:r>
        <w:t>, Roosendaal Rechtsanwälte, Ludwigstraße 12, 83022 Rosenheim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