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Duplik der Klägerin Pohlmann (Schriftsatz vom 15.06.2026)</w:t>
      </w:r>
    </w:p>
    <w:p>
      <w:pPr>
        <w:pStyle w:val="Heading2"/>
      </w:pPr>
      <w:r>
        <w:rPr>
          <w:rFonts w:ascii="Times New Roman" w:hAnsi="Times New Roman"/>
        </w:rPr>
        <w:t>Verfahrensstand</w:t>
      </w:r>
    </w:p>
    <w:p>
      <w:pPr>
        <w:jc w:val="left"/>
      </w:pPr>
      <w:r>
        <w:rPr>
          <w:b/>
        </w:rPr>
        <w:t>Az.:</w:t>
      </w:r>
      <w:r>
        <w:t xml:space="preserve"> LG Traunstein 1 O 2188/25</w:t>
      </w:r>
    </w:p>
    <w:p>
      <w:pPr>
        <w:jc w:val="left"/>
      </w:pPr>
      <w:r>
        <w:rPr>
          <w:b/>
        </w:rPr>
        <w:t>Eingegangen:</w:t>
      </w:r>
      <w:r>
        <w:t xml:space="preserve"> 15.06.2026</w:t>
      </w:r>
    </w:p>
    <w:p>
      <w:pPr>
        <w:jc w:val="left"/>
      </w:pPr>
      <w:r>
        <w:rPr>
          <w:b/>
        </w:rPr>
        <w:t>Verfasser:</w:t>
      </w:r>
      <w:r>
        <w:t xml:space="preserve"> RA Dr. Mark Roosendaal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Die Klägerin erwidert auf die Klageerwiderung der Beklagten vom 28.04.2026 wie folgt. Zugleich kündigt die Klägerin eine Klageerweiterung bezüglich der Folgemängelschäden an (gesonderter Schriftsatz nach Einholung des Sachverständigengutachtens).</w:t>
      </w:r>
    </w:p>
    <w:p/>
    <w:p>
      <w:pPr>
        <w:pStyle w:val="Heading2"/>
      </w:pPr>
      <w:r>
        <w:rPr>
          <w:rFonts w:ascii="Times New Roman" w:hAnsi="Times New Roman"/>
        </w:rPr>
        <w:t>Zur Bodenkontamination (Widerlegung der Beklagtenbehauptungen)</w:t>
      </w:r>
    </w:p>
    <w:p>
      <w:pPr>
        <w:pStyle w:val="Heading3"/>
      </w:pPr>
      <w:r>
        <w:rPr>
          <w:rFonts w:ascii="Times New Roman" w:hAnsi="Times New Roman"/>
        </w:rPr>
        <w:t>Zur behaupteten telefonischen Unterrichtung der Klägerin</w:t>
      </w:r>
    </w:p>
    <w:p>
      <w:pPr>
        <w:jc w:val="left"/>
      </w:pPr>
      <w:r>
        <w:t>Die Beklagte behauptet, Frau Pohlmann sei am 22.04.2022 von Herrn Weidinger telefonisch unterrichtet worden. Dies wird ausdrücklich bestritten. Frau Pohlmann war am 22.04.2022 nachweislich in München (Krankenhaus-Termin Klinikum Rechts der Isar, 09:00 Uhr; Beleg: Arztterminbestätigung). Ihr Mobiltelefon war während des gesamten Termins ausgeschaltet. Ein Gespräch mit Herrn Weidinger hat nicht stattgefunden.</w:t>
      </w:r>
    </w:p>
    <w:p>
      <w:pPr>
        <w:jc w:val="left"/>
      </w:pPr>
      <w:r>
        <w:t>Die Beklagte stützt sich auf das Zeugnis des Herrn Weidinger; dieser ist jedoch zugleich Auftragnehmer der Beklagten und hat insoweit ein wirtschaftliches Interesse am Ausgang des Verfahrens.</w:t>
      </w:r>
    </w:p>
    <w:p>
      <w:pPr>
        <w:jc w:val="left"/>
      </w:pPr>
      <w:r>
        <w:rPr>
          <w:b/>
        </w:rPr>
        <w:t>Beweisangebot:</w:t>
      </w:r>
      <w:r>
        <w:t xml:space="preserve"> Zeugnis Sybille Pohlmann-Fraas (Tochter, war am 22.04.2022 mit der Klägerin in München); Krankenhausbestätigung (Urkunde).</w:t>
      </w:r>
    </w:p>
    <w:p>
      <w:pPr>
        <w:pStyle w:val="Heading3"/>
      </w:pPr>
      <w:r>
        <w:rPr>
          <w:rFonts w:ascii="Times New Roman" w:hAnsi="Times New Roman"/>
        </w:rPr>
        <w:t>Zur Unwirksamkeit der AGB-Klausel § 9</w:t>
      </w:r>
    </w:p>
    <w:p>
      <w:pPr>
        <w:jc w:val="left"/>
      </w:pPr>
      <w:r>
        <w:t>Die Beklagte verteidigt § 9 des Bauvertrages als VOB/B-konforme Klausel. Dem ist entgegenzuhalten:</w:t>
      </w:r>
    </w:p>
    <w:p>
      <w:pPr>
        <w:pStyle w:val="ListNumber"/>
      </w:pPr>
      <w:r>
        <w:t>Der Bauvertrag enthält keine wirksame Einbeziehung der VOB/B. Die VOB/B ist nicht ausdrücklich und vollständig in den Vertrag einbezogen worden (§ 305 Abs. 2 BGB); die Klägerin ist Verbraucher i.S.d. § 13 BGB.</w:t>
      </w:r>
    </w:p>
    <w:p>
      <w:pPr>
        <w:pStyle w:val="ListNumber"/>
      </w:pPr>
      <w:r>
        <w:t>§ 9 des Vertrages benachteiligt die Klägerin unangemessen (§ 307 Abs. 1 BGB), weil sie dem Auftragnehmer erlaubt, Mehrkosten für Risiken geltend zu machen, die er als Fachunternehmer hätte erkennen und durch Voruntersuchung vermeiden können. Dies widerspricht dem Leitbild des § 631 BGB (Werkvertrag: Auftragnehmer schuldet mangelfreies Werk auch bei unvorhergesehenen Erschwernissen, soweit vorhersehbar).</w:t>
      </w:r>
    </w:p>
    <w:p>
      <w:pPr>
        <w:pStyle w:val="ListNumber"/>
      </w:pPr>
      <w:r>
        <w:t>BGH VII ZR 282/14 (NJW 2015, 1952) bestätigt, dass Hinweispflichten des Unternehmers im Werkvertragsrecht durch AGB nicht abbedungen werden können. Vgl. auch BGH VII ZR 175/14 (NJW 2016, 598): Haftung des Bauunternehmers für erkennbare Grundstücksrisiken.</w:t>
      </w:r>
    </w:p>
    <w:p/>
    <w:p>
      <w:pPr>
        <w:pStyle w:val="Heading2"/>
      </w:pPr>
      <w:r>
        <w:rPr>
          <w:rFonts w:ascii="Times New Roman" w:hAnsi="Times New Roman"/>
        </w:rPr>
        <w:t>Zum Schallschutz-Streit</w:t>
      </w:r>
    </w:p>
    <w:p>
      <w:pPr>
        <w:jc w:val="left"/>
      </w:pPr>
      <w:r>
        <w:t xml:space="preserve">Die Beklagte zitiert irrtümlich einen nicht einschlägigen Tabellenbereich der DIN 4109-1:2016-07. </w:t>
      </w:r>
      <w:r>
        <w:rPr>
          <w:b/>
        </w:rPr>
        <w:t>Tabelle 8, Zeile 6</w:t>
      </w:r>
      <w:r>
        <w:t xml:space="preserve"> der DIN 4109-1:2016-07 lautet: „Wohnungstrennwände zwischen Wohnhaus und angebautem Garagengeschoss: Luftschallschutz Rw ≥ 40 dB". Die Messung ergibt 32 dB — Unterschreitung 8 dB. Der Mangel ist erheblich.</w:t>
      </w:r>
    </w:p>
    <w:p>
      <w:pPr>
        <w:jc w:val="left"/>
      </w:pPr>
      <w:r>
        <w:rPr>
          <w:b/>
        </w:rPr>
        <w:t>Beweisangebot:</w:t>
      </w:r>
      <w:r>
        <w:t xml:space="preserve"> Sachverständigengutachten (zu beauftragen durch das Gericht gemäß § 402 ZPO).</w:t>
      </w:r>
    </w:p>
    <w:p/>
    <w:p>
      <w:pPr>
        <w:pStyle w:val="Heading2"/>
      </w:pPr>
      <w:r>
        <w:rPr>
          <w:rFonts w:ascii="Times New Roman" w:hAnsi="Times New Roman"/>
        </w:rPr>
        <w:t>Zur Wärmedämmung — GEG 2020</w:t>
      </w:r>
    </w:p>
    <w:p>
      <w:pPr>
        <w:jc w:val="left"/>
      </w:pPr>
      <w:r>
        <w:t>Das GEG 2020 gilt für Neubauten; § 10 Abs. 2 GEG schreibt für Kellerdecken bei Neubauten einen Höchst-U-Wert von 0,30 W/m²K vor. Das Gebäude wurde 2022–2024 errichtet und ist unstreitig ein Neubau. Die Berufung auf Bestandsgebäude-Grenzwerte ist sachlich falsch.</w:t>
      </w:r>
    </w:p>
    <w:p/>
    <w:p>
      <w:pPr>
        <w:pStyle w:val="Heading2"/>
      </w:pPr>
      <w:r>
        <w:rPr>
          <w:rFonts w:ascii="Times New Roman" w:hAnsi="Times New Roman"/>
        </w:rPr>
        <w:t>Zur Dachentwässerung — Höhere Gewalt</w:t>
      </w:r>
    </w:p>
    <w:p>
      <w:pPr>
        <w:jc w:val="left"/>
      </w:pPr>
      <w:r>
        <w:t>Das angebliche Starkregenereignis vom 10.12.2023 (87 mm/24h) übersteigt nach DIN EN 12056-3 die maßgebliche Bemessungsregenspende für Rosenheim (Starkregen r5 = 252 l/(s·ha)) nicht. Die Dachentwässerungsanlage hätte diesen Niederschlag bei ordnungsgemäßer Ausführung bewältigen können. Höhere Gewalt scheidet aus.</w:t>
      </w:r>
    </w:p>
    <w:p>
      <w:pPr>
        <w:jc w:val="left"/>
      </w:pPr>
      <w:r>
        <w:rPr>
          <w:b/>
        </w:rPr>
        <w:t>Beweisangebot:</w:t>
      </w:r>
      <w:r>
        <w:t xml:space="preserve"> Meteorologisches Gegengutachten, Zeugnis Feuerwehr Rosenheim (Einsatzprotokoll 10.12.2023).</w:t>
      </w:r>
    </w:p>
    <w:p/>
    <w:p>
      <w:pPr>
        <w:pStyle w:val="Heading2"/>
      </w:pPr>
      <w:r>
        <w:rPr>
          <w:rFonts w:ascii="Times New Roman" w:hAnsi="Times New Roman"/>
        </w:rPr>
        <w:t>Ankündigung Klageerweiterung</w:t>
      </w:r>
    </w:p>
    <w:p>
      <w:pPr>
        <w:jc w:val="left"/>
      </w:pPr>
      <w:r>
        <w:t>Nach Vorliegen des Sachverständigengutachtens wird die Klägerin die Klage um die Folgemängelschäden (Schimmel, Parkett, Feuchtigkeitsschäden EG) in der geschätzten Größenordnung von 237.000 EUR erweitern (§ 264 ZPO).</w:t>
      </w:r>
    </w:p>
    <w:p/>
    <w:p>
      <w:pPr>
        <w:pStyle w:val="Heading2"/>
      </w:pPr>
      <w:r>
        <w:rPr>
          <w:rFonts w:ascii="Times New Roman" w:hAnsi="Times New Roman"/>
        </w:rPr>
        <w:t>Antrag auf Beweisbeschluss</w:t>
      </w:r>
    </w:p>
    <w:p>
      <w:pPr>
        <w:jc w:val="left"/>
      </w:pPr>
      <w:r>
        <w:t>Die Klägerin beantragt, gemäß § 402 ZPO ein Sachverständigengutachten zu den folgenden Beweisfragen einzuholen:</w:t>
      </w:r>
    </w:p>
    <w:p>
      <w:pPr>
        <w:pStyle w:val="ListNumber"/>
      </w:pPr>
      <w:r>
        <w:t>Entspricht das Bauwerk hinsichtlich der im Abnahmeprotokoll vom 20.03.2024 vorbehaltenen Mängel den anerkannten Regeln der Technik und den vertraglichen Vereinbarungen?</w:t>
      </w:r>
    </w:p>
    <w:p>
      <w:pPr>
        <w:pStyle w:val="ListNumber"/>
      </w:pPr>
      <w:r>
        <w:t>Wie hoch sind die Kosten der Mangelbeseitigung?</w:t>
      </w:r>
    </w:p>
    <w:p>
      <w:pPr>
        <w:pStyle w:val="ListNumber"/>
      </w:pPr>
      <w:r>
        <w:t>Welchen Minderungsbetrag ergeben die Mängel relativ zum vereinbarten Werklohn?</w:t>
      </w:r>
    </w:p>
    <w:p>
      <w:pPr>
        <w:pStyle w:val="ListNumber"/>
      </w:pPr>
      <w:r>
        <w:t>Bestehen kausale Zusammenhänge zwischen den Mängeln der Dachentwässerung und den Feuchtigkeitsschäden im EG (Oktober 2024 bis Februar 2025)?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