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10 — Klageerweiterung: Folgemängelansprüche (§ 264 ZPO)</w:t>
      </w:r>
    </w:p>
    <w:p>
      <w:pPr>
        <w:pStyle w:val="Heading2"/>
      </w:pPr>
      <w:r>
        <w:rPr>
          <w:rFonts w:ascii="Times New Roman" w:hAnsi="Times New Roman"/>
        </w:rPr>
        <w:t>Schriftsatz vom 25.02.2027</w:t>
      </w:r>
    </w:p>
    <w:p>
      <w:pPr>
        <w:jc w:val="left"/>
      </w:pPr>
      <w:r>
        <w:rPr>
          <w:b/>
        </w:rPr>
        <w:t>Az.:</w:t>
      </w:r>
      <w:r>
        <w:t xml:space="preserve"> LG Traunstein 1 O 2188/25</w:t>
      </w:r>
    </w:p>
    <w:p>
      <w:pPr>
        <w:jc w:val="left"/>
      </w:pPr>
      <w:r>
        <w:rPr>
          <w:b/>
        </w:rPr>
        <w:t>Verfasser:</w:t>
      </w:r>
      <w:r>
        <w:t xml:space="preserve"> RA Dr. Mark Roosendaal</w:t>
      </w:r>
    </w:p>
    <w:p/>
    <w:p>
      <w:pPr>
        <w:pStyle w:val="Heading2"/>
      </w:pPr>
      <w:r>
        <w:rPr>
          <w:rFonts w:ascii="Times New Roman" w:hAnsi="Times New Roman"/>
        </w:rPr>
        <w:t>Anlass der Klageerweiterung</w:t>
      </w:r>
    </w:p>
    <w:p>
      <w:pPr>
        <w:jc w:val="left"/>
      </w:pPr>
      <w:r>
        <w:t>Nach Eingang des Sachverständigengutachtens Zeyer (12.01.2027) bestätigt sich, dass die Folgemängel (Schimmelbefall EG, Parkettschäden, Feuchtigkeitseindringen) kausal auf den Dachentwässerungsmangel zurückzuführen sind. Die Schadenssumme beläuft sich auf 237.000 EUR. Diese Position war im ursprünglichen Klageantrag lediglich als Feststellungsantrag erfasst; nunmehr wird sie nach Bezifferung in einen Leistungsantrag umgestellt und der Klageantrag erweitert.</w:t>
      </w:r>
    </w:p>
    <w:p/>
    <w:p>
      <w:pPr>
        <w:pStyle w:val="Heading2"/>
      </w:pPr>
      <w:r>
        <w:rPr>
          <w:rFonts w:ascii="Times New Roman" w:hAnsi="Times New Roman"/>
        </w:rPr>
        <w:t>Rechtliche Grundlage der Klageerweiterung</w:t>
      </w:r>
    </w:p>
    <w:p>
      <w:pPr>
        <w:jc w:val="left"/>
      </w:pPr>
      <w:r>
        <w:rPr>
          <w:b/>
        </w:rPr>
        <w:t>§ 264 ZPO</w:t>
      </w:r>
      <w:r>
        <w:t xml:space="preserve"> erlaubt die Erweiterung des Klageantrags ohne Klagänderung i.S.d. § 263 ZPO, sofern:</w:t>
      </w:r>
    </w:p>
    <w:p>
      <w:pPr>
        <w:pStyle w:val="ListBullet"/>
      </w:pPr>
      <w:r>
        <w:t>der Klaggrund (Lebenssachverhalt) derselbe bleibt (hier: Werkvertrag Saalbau, Mängel Dachentwässerung), und</w:t>
      </w:r>
    </w:p>
    <w:p>
      <w:pPr>
        <w:pStyle w:val="ListBullet"/>
      </w:pPr>
      <w:r>
        <w:t>der erweiterte Antrag auf der bereits erhobenen Klage aufbaut (Quantitätserweiterung).</w:t>
      </w:r>
    </w:p>
    <w:p>
      <w:pPr>
        <w:jc w:val="left"/>
      </w:pPr>
      <w:r>
        <w:t>Die Klageerweiterung nach § 264 Nr. 2 ZPO ist eine Erweiterung des Klageantrags in der Hauptsache; sie bedarf keiner Einwilligung der Beklagten und ist auch ohne Sachdienlichkeitsprüfung zulässig.</w:t>
      </w:r>
    </w:p>
    <w:p/>
    <w:p>
      <w:pPr>
        <w:pStyle w:val="Heading2"/>
      </w:pPr>
      <w:r>
        <w:rPr>
          <w:rFonts w:ascii="Times New Roman" w:hAnsi="Times New Roman"/>
        </w:rPr>
        <w:t>Geänderter Klageantrag Ziffer 1</w:t>
      </w:r>
    </w:p>
    <w:p>
      <w:pPr>
        <w:jc w:val="left"/>
      </w:pPr>
      <w:r>
        <w:t>Die Klägerin ändert ihren Antrag Ziffer 1 wie folgt:</w:t>
      </w:r>
    </w:p>
    <w:p>
      <w:pPr>
        <w:jc w:val="left"/>
      </w:pPr>
      <w:r>
        <w:rPr>
          <w:b/>
        </w:rPr>
        <w:t>Neu (Ziffer 1):</w:t>
      </w:r>
      <w:r>
        <w:t xml:space="preserve"> Die Beklagte wird verurteilt, an die Klägerin </w:t>
      </w:r>
      <w:r>
        <w:rPr>
          <w:b/>
        </w:rPr>
        <w:t>684.400 EUR</w:t>
      </w:r>
      <w:r>
        <w:t xml:space="preserve"> nebst Zinsen in Höhe von 5 Prozentpunkten über dem jeweiligen Basiszinssatz aus 447.400 EUR seit dem 25.06.2024 und aus weiteren 237.000 EUR seit dem 01.02.2025 zu zahlen.</w:t>
      </w:r>
    </w:p>
    <w:p>
      <w:pPr>
        <w:jc w:val="left"/>
      </w:pPr>
      <w:r>
        <w:t>Der Feststellungsantrag (ursprünglicher Antrag Ziffer 2) wird zurückgenommen, soweit er durch den nunmehrigen Leistungsantrag abgedeckt ist.</w:t>
      </w:r>
    </w:p>
    <w:p/>
    <w:p>
      <w:pPr>
        <w:pStyle w:val="Heading2"/>
      </w:pPr>
      <w:r>
        <w:rPr>
          <w:rFonts w:ascii="Times New Roman" w:hAnsi="Times New Roman"/>
        </w:rPr>
        <w:t>Bezifferung Folgemängelschäden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Schimmelbeseitigung (Spezialunternehmen Schimmex GmbH)</w:t>
            </w:r>
          </w:p>
        </w:tc>
        <w:tc>
          <w:tcPr>
            <w:tcW w:type="dxa" w:w="4536"/>
          </w:tcPr>
          <w:p>
            <w:r>
              <w:rPr>
                <w:rFonts w:ascii="Times New Roman" w:hAnsi="Times New Roman"/>
                <w:sz w:val="20"/>
              </w:rPr>
              <w:t>48.000 EUR</w:t>
            </w:r>
          </w:p>
        </w:tc>
      </w:tr>
      <w:tr>
        <w:tc>
          <w:tcPr>
            <w:tcW w:type="dxa" w:w="4536"/>
          </w:tcPr>
          <w:p>
            <w:r>
              <w:rPr>
                <w:rFonts w:ascii="Times New Roman" w:hAnsi="Times New Roman"/>
                <w:sz w:val="20"/>
              </w:rPr>
              <w:t>Trocknungsmaßnahmen (6 Wochen Trocknungsgeräte)</w:t>
            </w:r>
          </w:p>
        </w:tc>
        <w:tc>
          <w:tcPr>
            <w:tcW w:type="dxa" w:w="4536"/>
          </w:tcPr>
          <w:p>
            <w:r>
              <w:rPr>
                <w:rFonts w:ascii="Times New Roman" w:hAnsi="Times New Roman"/>
                <w:sz w:val="20"/>
              </w:rPr>
              <w:t>12.000 EUR</w:t>
            </w:r>
          </w:p>
        </w:tc>
      </w:tr>
      <w:tr>
        <w:tc>
          <w:tcPr>
            <w:tcW w:type="dxa" w:w="4536"/>
          </w:tcPr>
          <w:p>
            <w:r>
              <w:rPr>
                <w:rFonts w:ascii="Times New Roman" w:hAnsi="Times New Roman"/>
                <w:sz w:val="20"/>
              </w:rPr>
              <w:t>Parkett EG vollständig (42 qm, Herstellerwert Schiffsparkett Eiche)</w:t>
            </w:r>
          </w:p>
        </w:tc>
        <w:tc>
          <w:tcPr>
            <w:tcW w:type="dxa" w:w="4536"/>
          </w:tcPr>
          <w:p>
            <w:r>
              <w:rPr>
                <w:rFonts w:ascii="Times New Roman" w:hAnsi="Times New Roman"/>
                <w:sz w:val="20"/>
              </w:rPr>
              <w:t>63.000 EUR</w:t>
            </w:r>
          </w:p>
        </w:tc>
      </w:tr>
      <w:tr>
        <w:tc>
          <w:tcPr>
            <w:tcW w:type="dxa" w:w="4536"/>
          </w:tcPr>
          <w:p>
            <w:r>
              <w:rPr>
                <w:rFonts w:ascii="Times New Roman" w:hAnsi="Times New Roman"/>
                <w:sz w:val="20"/>
              </w:rPr>
              <w:t>Wandbeläge EG (Tapete, Anstrich)</w:t>
            </w:r>
          </w:p>
        </w:tc>
        <w:tc>
          <w:tcPr>
            <w:tcW w:type="dxa" w:w="4536"/>
          </w:tcPr>
          <w:p>
            <w:r>
              <w:rPr>
                <w:rFonts w:ascii="Times New Roman" w:hAnsi="Times New Roman"/>
                <w:sz w:val="20"/>
              </w:rPr>
              <w:t>22.000 EUR</w:t>
            </w:r>
          </w:p>
        </w:tc>
      </w:tr>
      <w:tr>
        <w:tc>
          <w:tcPr>
            <w:tcW w:type="dxa" w:w="4536"/>
          </w:tcPr>
          <w:p>
            <w:r>
              <w:rPr>
                <w:rFonts w:ascii="Times New Roman" w:hAnsi="Times New Roman"/>
                <w:sz w:val="20"/>
              </w:rPr>
              <w:t>Malerarbeiten (4 Räume)</w:t>
            </w:r>
          </w:p>
        </w:tc>
        <w:tc>
          <w:tcPr>
            <w:tcW w:type="dxa" w:w="4536"/>
          </w:tcPr>
          <w:p>
            <w:r>
              <w:rPr>
                <w:rFonts w:ascii="Times New Roman" w:hAnsi="Times New Roman"/>
                <w:sz w:val="20"/>
              </w:rPr>
              <w:t>19.000 EUR</w:t>
            </w:r>
          </w:p>
        </w:tc>
      </w:tr>
      <w:tr>
        <w:tc>
          <w:tcPr>
            <w:tcW w:type="dxa" w:w="4536"/>
          </w:tcPr>
          <w:p>
            <w:r>
              <w:rPr>
                <w:rFonts w:ascii="Times New Roman" w:hAnsi="Times New Roman"/>
                <w:sz w:val="20"/>
              </w:rPr>
              <w:t>Hotelkosten Auslagerung (8 Wochen x 890 EUR)</w:t>
            </w:r>
          </w:p>
        </w:tc>
        <w:tc>
          <w:tcPr>
            <w:tcW w:type="dxa" w:w="4536"/>
          </w:tcPr>
          <w:p>
            <w:r>
              <w:rPr>
                <w:rFonts w:ascii="Times New Roman" w:hAnsi="Times New Roman"/>
                <w:sz w:val="20"/>
              </w:rPr>
              <w:t>49.600 EUR</w:t>
            </w:r>
          </w:p>
        </w:tc>
      </w:tr>
      <w:tr>
        <w:tc>
          <w:tcPr>
            <w:tcW w:type="dxa" w:w="4536"/>
          </w:tcPr>
          <w:p>
            <w:r>
              <w:rPr>
                <w:rFonts w:ascii="Times New Roman" w:hAnsi="Times New Roman"/>
                <w:sz w:val="20"/>
              </w:rPr>
              <w:t>Gutachterkosten Schadensfeststellung</w:t>
            </w:r>
          </w:p>
        </w:tc>
        <w:tc>
          <w:tcPr>
            <w:tcW w:type="dxa" w:w="4536"/>
          </w:tcPr>
          <w:p>
            <w:r>
              <w:rPr>
                <w:rFonts w:ascii="Times New Roman" w:hAnsi="Times New Roman"/>
                <w:sz w:val="20"/>
              </w:rPr>
              <w:t>8.400 EUR</w:t>
            </w:r>
          </w:p>
        </w:tc>
      </w:tr>
      <w:tr>
        <w:tc>
          <w:tcPr>
            <w:tcW w:type="dxa" w:w="4536"/>
          </w:tcPr>
          <w:p>
            <w:r>
              <w:rPr>
                <w:rFonts w:ascii="Times New Roman" w:hAnsi="Times New Roman"/>
                <w:sz w:val="20"/>
              </w:rPr>
              <w:t>Sonstiges (Entsorgung, Elektriker, etc.)</w:t>
            </w:r>
          </w:p>
        </w:tc>
        <w:tc>
          <w:tcPr>
            <w:tcW w:type="dxa" w:w="4536"/>
          </w:tcPr>
          <w:p>
            <w:r>
              <w:rPr>
                <w:rFonts w:ascii="Times New Roman" w:hAnsi="Times New Roman"/>
                <w:sz w:val="20"/>
              </w:rPr>
              <w:t>15.000 EUR</w:t>
            </w:r>
          </w:p>
        </w:tc>
      </w:tr>
      <w:tr>
        <w:tc>
          <w:tcPr>
            <w:tcW w:type="dxa" w:w="4536"/>
          </w:tcPr>
          <w:p>
            <w:r>
              <w:rPr>
                <w:rFonts w:ascii="Times New Roman" w:hAnsi="Times New Roman"/>
                <w:b/>
                <w:sz w:val="20"/>
              </w:rPr>
              <w:t>Gesamtfolgemängelschaden</w:t>
            </w:r>
          </w:p>
        </w:tc>
        <w:tc>
          <w:tcPr>
            <w:tcW w:type="dxa" w:w="4536"/>
          </w:tcPr>
          <w:p>
            <w:r>
              <w:rPr>
                <w:rFonts w:ascii="Times New Roman" w:hAnsi="Times New Roman"/>
                <w:b/>
                <w:sz w:val="20"/>
              </w:rPr>
              <w:t>237.000 EUR</w:t>
            </w:r>
          </w:p>
        </w:tc>
      </w:tr>
    </w:tbl>
    <w:p/>
    <w:p>
      <w:pPr>
        <w:pStyle w:val="Heading2"/>
      </w:pPr>
      <w:r>
        <w:rPr>
          <w:rFonts w:ascii="Times New Roman" w:hAnsi="Times New Roman"/>
        </w:rPr>
        <w:t>Verjährung der Folgemängelansprüche</w:t>
      </w:r>
    </w:p>
    <w:p>
      <w:pPr>
        <w:jc w:val="left"/>
      </w:pPr>
      <w:r>
        <w:t>Die Folgemängelansprüche sind nicht verjährt:</w:t>
      </w:r>
    </w:p>
    <w:p>
      <w:pPr>
        <w:pStyle w:val="ListBullet"/>
      </w:pPr>
      <w:r>
        <w:t>Schadenseintritt: Oktober 2024 (erster Schimmelbefall erkannt) bis Februar 2025.</w:t>
      </w:r>
    </w:p>
    <w:p>
      <w:pPr>
        <w:pStyle w:val="ListBullet"/>
      </w:pPr>
      <w:r>
        <w:t>Kenntnisnahme: Oktober 2024 (§ 199 Abs. 1 BGB).</w:t>
      </w:r>
    </w:p>
    <w:p>
      <w:pPr>
        <w:pStyle w:val="ListBullet"/>
      </w:pPr>
      <w:r>
        <w:t>Verjährungsfrist: 3 Jahre (§ 195 BGB), Ablauf 31.12.2027.</w:t>
      </w:r>
    </w:p>
    <w:p>
      <w:pPr>
        <w:pStyle w:val="ListBullet"/>
      </w:pPr>
      <w:r>
        <w:t>Klageerhebung: 25.02.2027 — innerhalb der Verjährungsfrist.</w:t>
      </w:r>
    </w:p>
    <w:p>
      <w:pPr>
        <w:jc w:val="left"/>
      </w:pPr>
      <w:r>
        <w:t>Die Hemmung durch Klageerweiterung tritt mit Zustellung an Beklagte ein (§ 204 Abs. 1 Nr. 1 BGB).</w:t>
      </w:r>
    </w:p>
    <w:p/>
    <w:p>
      <w:pPr>
        <w:pStyle w:val="Heading2"/>
      </w:pPr>
      <w:r>
        <w:rPr>
          <w:rFonts w:ascii="Times New Roman" w:hAnsi="Times New Roman"/>
        </w:rPr>
        <w:t>Prozessuale Konsequenzen</w:t>
      </w:r>
    </w:p>
    <w:p>
      <w:pPr>
        <w:jc w:val="left"/>
      </w:pPr>
      <w:r>
        <w:t>Der Streitwert erhöht sich von 447.400 EUR auf 684.400 EUR.</w:t>
      </w:r>
    </w:p>
    <w:p>
      <w:pPr>
        <w:jc w:val="left"/>
      </w:pPr>
      <w:r>
        <w:t>Neue Gerichtsgebühren werden fällig (Differenzstreitwert 237.000 EUR; § 51 GKG). RA Roosendaal beantragt, einen Vorschuss auf die Differenzgerichtsgebühr festzusetzen. Die Gebühr der klägerischen Anwälte erhöht sich ebenfalls entsprechend.</w:t>
      </w:r>
    </w:p>
    <w:p/>
    <w:p>
      <w:pPr>
        <w:pStyle w:val="Heading2"/>
      </w:pPr>
      <w:r>
        <w:rPr>
          <w:rFonts w:ascii="Times New Roman" w:hAnsi="Times New Roman"/>
        </w:rPr>
        <w:t>Hinweis auf Vollstreckungsabwehrklage (§ 767 ZPO)</w:t>
      </w:r>
    </w:p>
    <w:p>
      <w:pPr>
        <w:jc w:val="left"/>
      </w:pPr>
      <w:r>
        <w:t>In einem Parallelstrang hat die Beklagte nach Erteilung der vollstreckbaren Ausfertigung des Kostenfestsetzungsbeschlusses (Mahnverfahren; 23.800 EUR Kostenerstattung) die Pfändung und Überweisung des Kontoguthabens der Klägerin bei der Sparkasse Rosenheim beantragt. Die Klägerin wird gegebenenfalls Vollstreckungsabwehrklage nach § 767 ZPO erheben, da Aufrechnung mit den laufenden Werklohnforderungen die Zwangsvollstreckungsgrundlage beseitigt.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