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Protokoll der mündlichen Verhandlung LG Traunstein</w:t>
      </w:r>
    </w:p>
    <w:p>
      <w:pPr>
        <w:pStyle w:val="Heading2"/>
      </w:pPr>
      <w:r>
        <w:rPr>
          <w:rFonts w:ascii="Times New Roman" w:hAnsi="Times New Roman"/>
        </w:rPr>
        <w:t>Sitzungsprotokoll vom 18.05.2027</w:t>
      </w:r>
    </w:p>
    <w:p>
      <w:pPr>
        <w:jc w:val="left"/>
      </w:pPr>
      <w:r>
        <w:rPr>
          <w:b/>
        </w:rPr>
        <w:t>Az.:</w:t>
      </w:r>
      <w:r>
        <w:t xml:space="preserve"> LG Traunstein 1 O 2188/25</w:t>
      </w:r>
    </w:p>
    <w:p>
      <w:pPr>
        <w:jc w:val="left"/>
      </w:pPr>
      <w:r>
        <w:rPr>
          <w:b/>
        </w:rPr>
        <w:t>Sitzung:</w:t>
      </w:r>
      <w:r>
        <w:t xml:space="preserve"> Mündliche Verhandlung nach Schriftsatzaustausch und Sachverständigengutachten</w:t>
      </w:r>
    </w:p>
    <w:p>
      <w:pPr>
        <w:jc w:val="left"/>
      </w:pPr>
      <w:r>
        <w:rPr>
          <w:b/>
        </w:rPr>
        <w:t>Vorsitzende:</w:t>
      </w:r>
      <w:r>
        <w:t xml:space="preserve"> VRiLG Dr. Anke Willms-Faber</w:t>
      </w:r>
    </w:p>
    <w:p>
      <w:pPr>
        <w:jc w:val="left"/>
      </w:pPr>
      <w:r>
        <w:rPr>
          <w:b/>
        </w:rPr>
        <w:t>Beisitzende:</w:t>
      </w:r>
      <w:r>
        <w:t xml:space="preserve"> RiLG Klaus-Dieter Brombeer, RiLG Melanie Fischner-Hoff</w:t>
      </w:r>
    </w:p>
    <w:p>
      <w:pPr>
        <w:jc w:val="left"/>
      </w:pPr>
      <w:r>
        <w:rPr>
          <w:b/>
        </w:rPr>
        <w:t>Urkundsbeamtin:</w:t>
      </w:r>
      <w:r>
        <w:t xml:space="preserve"> Justizangestellte Petra Klee</w:t>
      </w:r>
    </w:p>
    <w:p>
      <w:pPr>
        <w:jc w:val="left"/>
      </w:pPr>
      <w:r>
        <w:rPr>
          <w:b/>
        </w:rPr>
        <w:t>Erschienen:</w:t>
      </w:r>
    </w:p>
    <w:p>
      <w:pPr>
        <w:pStyle w:val="ListBullet"/>
      </w:pPr>
      <w:r>
        <w:t>Klägerin: Frau Margarete Pohlmann (persönlich erschienen)</w:t>
      </w:r>
    </w:p>
    <w:p>
      <w:pPr>
        <w:pStyle w:val="ListBullet"/>
      </w:pPr>
      <w:r>
        <w:t>Klägervertreter: RA Dr. Mark Roosendaal</w:t>
      </w:r>
    </w:p>
    <w:p>
      <w:pPr>
        <w:pStyle w:val="ListBullet"/>
      </w:pPr>
      <w:r>
        <w:t>Beklagtenvertreter: RA Bernhard Scholl-Mayer</w:t>
      </w:r>
    </w:p>
    <w:p>
      <w:pPr>
        <w:pStyle w:val="ListBullet"/>
      </w:pPr>
      <w:r>
        <w:t>Sachverständiger: Dipl.-Ing. Friedrich Zeyer (geladen zur Erläuterung des Gutachtens)</w:t>
      </w:r>
    </w:p>
    <w:p/>
    <w:p>
      <w:pPr>
        <w:pStyle w:val="Heading2"/>
      </w:pPr>
      <w:r>
        <w:rPr>
          <w:rFonts w:ascii="Times New Roman" w:hAnsi="Times New Roman"/>
        </w:rPr>
        <w:t>Verhandlungsverlauf</w:t>
      </w:r>
    </w:p>
    <w:p>
      <w:pPr>
        <w:jc w:val="left"/>
      </w:pPr>
      <w:r>
        <w:rPr>
          <w:b/>
        </w:rPr>
        <w:t>09:05 Uhr — Eröffnung und Aufruf</w:t>
      </w:r>
    </w:p>
    <w:p>
      <w:pPr>
        <w:jc w:val="left"/>
      </w:pPr>
      <w:r>
        <w:t>Die Vorsitzende eröffnet die Verhandlung, stellt die Erschienenen fest und informiert über den Verfahrensstand.</w:t>
      </w:r>
    </w:p>
    <w:p>
      <w:pPr>
        <w:jc w:val="left"/>
      </w:pPr>
      <w:r>
        <w:rPr>
          <w:b/>
        </w:rPr>
        <w:t>09:10 Uhr — Hinweis des Gerichts (§ 139 ZPO)</w:t>
      </w:r>
    </w:p>
    <w:p>
      <w:pPr>
        <w:jc w:val="left"/>
      </w:pPr>
      <w:r>
        <w:t>Die Kammer erteilt folgenden Hinweis: Sie neigt dazu, die AGB-Klausel § 9 des Bauvertrages nach § 307 BGB für unwirksam zu halten, da sie den Auftragnehmer als Klauselverwender entgegen den Geboten von Treu und Glauben unangemessen begünstigt. Die Kammer wird Sachverständigen Zeyer zu den Kausalitätsfragen befragen.</w:t>
      </w:r>
    </w:p>
    <w:p>
      <w:pPr>
        <w:jc w:val="left"/>
      </w:pPr>
      <w:r>
        <w:rPr>
          <w:b/>
        </w:rPr>
        <w:t>09:25 Uhr — Befragung des Sachverständigen Zeyer</w:t>
      </w:r>
    </w:p>
    <w:p>
      <w:pPr>
        <w:jc w:val="left"/>
      </w:pPr>
      <w:r>
        <w:t>SV Zeyer erläutert sein Gutachten. Auf Befragung RA Scholl-Mayer: Der Sachverständige bestätigt, dass auch bei einem w/z-Wert von 0,58 (ein technisch vertretbarer Mittelwert) keine Rissbildung in diesem Ausmaß aufgetreten wäre. Er hält an allen Befunden fest.</w:t>
      </w:r>
    </w:p>
    <w:p>
      <w:pPr>
        <w:jc w:val="left"/>
      </w:pPr>
      <w:r>
        <w:t>RA Scholl-Mayer stellt Ergänzungsfragen zum Kausalzusammenhang Dachentwässerung/Folgemängel. SV Zeyer: „Der Kausalzusammenhang ist mit an Sicherheit grenzender Wahrscheinlichkeit gegeben; die Thermografieaufnahmen sprechen eine eindeutige Sprache."</w:t>
      </w:r>
    </w:p>
    <w:p>
      <w:pPr>
        <w:jc w:val="left"/>
      </w:pPr>
      <w:r>
        <w:t>RA Scholl-Mayer beantragt, ein Obergutachten einzuholen (§ 412 ZPO). Die Kammer lehnt dies in der Sitzung mündlich ab; das Gutachten ist vollständig, widerspruchsfrei und überzeugend.</w:t>
      </w:r>
    </w:p>
    <w:p>
      <w:pPr>
        <w:jc w:val="left"/>
      </w:pPr>
      <w:r>
        <w:rPr>
          <w:b/>
        </w:rPr>
        <w:t>10:15 Uhr — Streitwertdiskussion</w:t>
      </w:r>
    </w:p>
    <w:p>
      <w:pPr>
        <w:jc w:val="left"/>
      </w:pPr>
      <w:r>
        <w:t>Die Vorsitzende weist darauf hin, dass der Streitwert nunmehr 684.400 EUR beträgt und die Gerichtsgebühren entsprechend angepasst werden. RA Scholl-Mayer rügt, die Klageerweiterung sei nicht sachdienlich. Die Kammer: Die Klageerweiterung nach § 264 Nr. 2 ZPO bedarf keiner Sachdienlichkeitsprüfung.</w:t>
      </w:r>
    </w:p>
    <w:p>
      <w:pPr>
        <w:jc w:val="left"/>
      </w:pPr>
      <w:r>
        <w:rPr>
          <w:b/>
        </w:rPr>
        <w:t>10:40 Uhr — Vergleichsgespräch</w:t>
      </w:r>
    </w:p>
    <w:p>
      <w:pPr>
        <w:jc w:val="left"/>
      </w:pPr>
      <w:r>
        <w:t>Auf Anregung der Kammer wird eine 30-minütige Vergleichspause eingelegt. Ergebnis: Die Beklagte signalisiert grundsätzliche Vergleichsbereitschaft bei einem Vergleichsbetrag von 390.000 EUR. Die Klägerin lehnt dies ab (Untergrenze nach Weisung: 520.000 EUR).</w:t>
      </w:r>
    </w:p>
    <w:p>
      <w:pPr>
        <w:jc w:val="left"/>
      </w:pPr>
      <w:r>
        <w:rPr>
          <w:b/>
        </w:rPr>
        <w:t>11:15 Uhr — Schluss der Verhandlung</w:t>
      </w:r>
    </w:p>
    <w:p>
      <w:pPr>
        <w:jc w:val="left"/>
      </w:pPr>
      <w:r>
        <w:t xml:space="preserve">Die Kammer kündigt Urteilsverkündung zum </w:t>
      </w:r>
      <w:r>
        <w:rPr>
          <w:b/>
        </w:rPr>
        <w:t>22.07.2027</w:t>
      </w:r>
      <w:r>
        <w:t xml:space="preserve"> an.</w:t>
      </w:r>
    </w:p>
    <w:p/>
    <w:p>
      <w:pPr>
        <w:pStyle w:val="Heading2"/>
      </w:pPr>
      <w:r>
        <w:rPr>
          <w:rFonts w:ascii="Times New Roman" w:hAnsi="Times New Roman"/>
        </w:rPr>
        <w:t>Verfahrensrüge der Beklagten (Protokollierungsantrag)</w:t>
      </w:r>
    </w:p>
    <w:p>
      <w:pPr>
        <w:jc w:val="left"/>
      </w:pPr>
      <w:r>
        <w:t>RA Scholl-Mayer rügt, das Gericht habe den Befangenheitsantrag vom 25.08.2026 nicht ordnungsgemäß begründet. Die Kammer nimmt die Rüge zu Protokoll, hält an der Entscheidung vom 10.09.2026 fest.</w:t>
      </w:r>
    </w:p>
    <w:p/>
    <w:p>
      <w:pPr>
        <w:pStyle w:val="Heading2"/>
      </w:pPr>
      <w:r>
        <w:rPr>
          <w:rFonts w:ascii="Times New Roman" w:hAnsi="Times New Roman"/>
        </w:rPr>
        <w:t>Beweisergebnis (Zusammenfassung für das Urteil)</w:t>
      </w:r>
    </w:p>
    <w:p>
      <w:pPr>
        <w:jc w:val="left"/>
      </w:pPr>
      <w:r>
        <w:t>Das Sachverständigengutachten Zeyer ergibt:</w:t>
      </w:r>
    </w:p>
    <w:p>
      <w:pPr>
        <w:pStyle w:val="ListBullet"/>
      </w:pPr>
      <w:r>
        <w:t>Alle vier Abnahmemängel nachgewiesen</w:t>
      </w:r>
    </w:p>
    <w:p>
      <w:pPr>
        <w:pStyle w:val="ListBullet"/>
      </w:pPr>
      <w:r>
        <w:t>Kausalität Dachentwässerung/Folgemängel nachgewiesen</w:t>
      </w:r>
    </w:p>
    <w:p>
      <w:pPr>
        <w:pStyle w:val="ListBullet"/>
      </w:pPr>
      <w:r>
        <w:t>Mangelbeseitigungskosten gesamt 102.100 EUR</w:t>
      </w:r>
    </w:p>
    <w:p>
      <w:pPr>
        <w:pStyle w:val="ListBullet"/>
      </w:pPr>
      <w:r>
        <w:t>Folgemängelschäden 237.000 EUR</w:t>
      </w:r>
    </w:p>
    <w:p>
      <w:pPr>
        <w:pStyle w:val="ListBullet"/>
      </w:pPr>
      <w:r>
        <w:t>Minderungsbetrag 92.880 EUR</w:t>
      </w:r>
    </w:p>
    <w:p>
      <w:pPr>
        <w:jc w:val="left"/>
      </w:pPr>
      <w:r>
        <w:t xml:space="preserve">Schluss der Verhandlung: </w:t>
      </w:r>
      <w:r>
        <w:rPr>
          <w:b/>
        </w:rPr>
        <w:t>11:35 Uhr</w:t>
      </w:r>
    </w:p>
    <w:p>
      <w:pPr>
        <w:jc w:val="left"/>
      </w:pPr>
      <w:r>
        <w:t>Vorgelesen und genehmigt.</w:t>
      </w:r>
    </w:p>
    <w:p>
      <w:pPr>
        <w:jc w:val="left"/>
      </w:pPr>
      <w:r>
        <w:t>gez. Dr. Willms-Faber (Vorsitzende) | gez. Klee (UdG)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