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Protokoll der mündlichen Verhandlung OLG München</w:t>
      </w:r>
    </w:p>
    <w:p>
      <w:pPr>
        <w:pStyle w:val="Heading2"/>
      </w:pPr>
      <w:r>
        <w:rPr>
          <w:rFonts w:ascii="Times New Roman" w:hAnsi="Times New Roman"/>
        </w:rPr>
        <w:t>Sitzungsprotokoll vom 12.03.2028</w:t>
      </w:r>
    </w:p>
    <w:p>
      <w:pPr>
        <w:jc w:val="left"/>
      </w:pPr>
      <w:r>
        <w:rPr>
          <w:b/>
        </w:rPr>
        <w:t>Az.:</w:t>
      </w:r>
      <w:r>
        <w:t xml:space="preserve"> OLG München 13 U 417/27</w:t>
      </w:r>
    </w:p>
    <w:p>
      <w:pPr>
        <w:jc w:val="left"/>
      </w:pPr>
      <w:r>
        <w:rPr>
          <w:b/>
        </w:rPr>
        <w:t>Senat:</w:t>
      </w:r>
      <w:r>
        <w:t xml:space="preserve"> 13. Zivilsenat</w:t>
      </w:r>
    </w:p>
    <w:p>
      <w:pPr>
        <w:jc w:val="left"/>
      </w:pPr>
      <w:r>
        <w:rPr>
          <w:b/>
        </w:rPr>
        <w:t>Vorsitzender:</w:t>
      </w:r>
      <w:r>
        <w:t xml:space="preserve"> OLGRiMünchen Dr. Hans-Peter Vogelstrom</w:t>
      </w:r>
    </w:p>
    <w:p>
      <w:pPr>
        <w:jc w:val="left"/>
      </w:pPr>
      <w:r>
        <w:rPr>
          <w:b/>
        </w:rPr>
        <w:t>Beisitzende:</w:t>
      </w:r>
      <w:r>
        <w:t xml:space="preserve"> RiOLG Dr. Katrin Elsenbeck, RiOLG Martin Polz-Neuberger</w:t>
      </w:r>
    </w:p>
    <w:p>
      <w:pPr>
        <w:jc w:val="left"/>
      </w:pPr>
      <w:r>
        <w:rPr>
          <w:b/>
        </w:rPr>
        <w:t>Urkundsbeamtin:</w:t>
      </w:r>
      <w:r>
        <w:t xml:space="preserve"> Justizangestellte Renate Hörmann</w:t>
      </w:r>
    </w:p>
    <w:p>
      <w:pPr>
        <w:jc w:val="left"/>
      </w:pPr>
      <w:r>
        <w:rPr>
          <w:b/>
        </w:rPr>
        <w:t>Erschienen:</w:t>
      </w:r>
    </w:p>
    <w:p>
      <w:pPr>
        <w:pStyle w:val="ListBullet"/>
      </w:pPr>
      <w:r>
        <w:t>Klägerinvertreter: RA Dr. Mark Roosendaal</w:t>
      </w:r>
    </w:p>
    <w:p>
      <w:pPr>
        <w:pStyle w:val="ListBullet"/>
      </w:pPr>
      <w:r>
        <w:t>Beklagtenvertreter: RA Bernhard Scholl-Mayer</w:t>
      </w:r>
    </w:p>
    <w:p>
      <w:pPr>
        <w:pStyle w:val="ListBullet"/>
      </w:pPr>
      <w:r>
        <w:t>Klägerin: Margarete Pohlmann (persönlich erschienen)</w:t>
      </w:r>
    </w:p>
    <w:p/>
    <w:p>
      <w:pPr>
        <w:pStyle w:val="Heading2"/>
      </w:pPr>
      <w:r>
        <w:rPr>
          <w:rFonts w:ascii="Times New Roman" w:hAnsi="Times New Roman"/>
        </w:rPr>
        <w:t>Verhandlungsverlauf</w:t>
      </w:r>
    </w:p>
    <w:p>
      <w:pPr>
        <w:jc w:val="left"/>
      </w:pPr>
      <w:r>
        <w:rPr>
          <w:b/>
        </w:rPr>
        <w:t>09:30 Uhr — Eröffnung</w:t>
      </w:r>
    </w:p>
    <w:p>
      <w:pPr>
        <w:jc w:val="left"/>
      </w:pPr>
      <w:r>
        <w:t>Der Vorsitzende eröffnet die Verhandlung. Er weist darauf hin, dass der Senat beide Berufungen gemeinsam behandelt.</w:t>
      </w:r>
    </w:p>
    <w:p>
      <w:pPr>
        <w:jc w:val="left"/>
      </w:pPr>
      <w:r>
        <w:rPr>
          <w:b/>
        </w:rPr>
        <w:t>09:35 Uhr — Hinweis des Senats</w:t>
      </w:r>
    </w:p>
    <w:p>
      <w:pPr>
        <w:jc w:val="left"/>
      </w:pPr>
      <w:r>
        <w:t>Der Senat erteilt folgenden gerichtlichen Hinweis (§ 522 Abs. 2 ZPO-analog / § 139 ZPO):</w:t>
      </w:r>
    </w:p>
    <w:p>
      <w:pPr>
        <w:pStyle w:val="ListNumber"/>
      </w:pPr>
      <w:r>
        <w:t>Der Senat neigt dazu, die Beweiswürdigung des LG zur AGB-Klausel § 9 zu bestätigen. Die Klausel ist nach Auffassung des Senats unwirksam.</w:t>
      </w:r>
    </w:p>
    <w:p>
      <w:pPr>
        <w:pStyle w:val="ListNumber"/>
      </w:pPr>
      <w:r>
        <w:t>Zu den Folgemängelschäden: Der Senat erwägt, einen Ergänzungsauftrag an den Sachverständigen Zeyer zu erteilen (Konkretisierung Hotelkosten Wochen 6–8).</w:t>
      </w:r>
    </w:p>
    <w:p>
      <w:pPr>
        <w:pStyle w:val="ListNumber"/>
      </w:pPr>
      <w:r>
        <w:t>Zur Streitwertfestsetzung: Der Senat sieht keinen Anlass, von der Streitwertfestsetzung des LG abzuweichen. Die Klageerweiterung nach § 264 Nr. 2 ZPO war zulässig.</w:t>
      </w:r>
    </w:p>
    <w:p>
      <w:pPr>
        <w:jc w:val="left"/>
      </w:pPr>
      <w:r>
        <w:rPr>
          <w:b/>
        </w:rPr>
        <w:t>10:10 Uhr — Streitgespräch AGB-Klausel</w:t>
      </w:r>
    </w:p>
    <w:p>
      <w:pPr>
        <w:jc w:val="left"/>
      </w:pPr>
      <w:r>
        <w:t>RA Scholl-Mayer: Die Beklagte verweist nochmals auf BGH VII ZR 34/14. Der Senat: Das Urteil betrifft eine andere Konstellation (gewerblicher Auftraggeber); auf Verbraucherverträge sei es nicht ohne Weiteres übertragbar.</w:t>
      </w:r>
    </w:p>
    <w:p>
      <w:pPr>
        <w:jc w:val="left"/>
      </w:pPr>
      <w:r>
        <w:t>RA Dr. Roosendaal: Der BGH hat in einem jüngeren Urteil (BGH VII ZR 282/14) die Hinweispflicht des Auftragnehmers bei erkennbaren Bodenproblemen ausdrücklich bekräftigt.</w:t>
      </w:r>
    </w:p>
    <w:p>
      <w:pPr>
        <w:jc w:val="left"/>
      </w:pPr>
      <w:r>
        <w:rPr>
          <w:b/>
        </w:rPr>
        <w:t>10:50 Uhr — Vergleichsgespräch</w:t>
      </w:r>
    </w:p>
    <w:p>
      <w:pPr>
        <w:jc w:val="left"/>
      </w:pPr>
      <w:r>
        <w:t>Auf Anregung des Senats wird erneut Vergleichsgespräch geführt. Ergebnis: Beklagte bietet 480.000 EUR. Klägerin fordert 570.000 EUR. Einigung nicht erzielt.</w:t>
      </w:r>
    </w:p>
    <w:p>
      <w:pPr>
        <w:jc w:val="left"/>
      </w:pPr>
      <w:r>
        <w:rPr>
          <w:b/>
        </w:rPr>
        <w:t>11:20 Uhr — Rüge Berufungsbegründungsfrist</w:t>
      </w:r>
    </w:p>
    <w:p>
      <w:pPr>
        <w:jc w:val="left"/>
      </w:pPr>
      <w:r>
        <w:t>RA Scholl-Mayer rügt nachträglich, die Berufungsbegründung der Klägerin sei erst am 03.10.2027 eingegangen (Fristende laut RA Scholl-Mayer: 05.10.2027 — keine Fristverlängerung beantragt). Prüfung durch Senat ergibt: Fristverlängerung wurde vom Vorsitzenden am 21.09.2027 schriftlich gewährt (Az. OLG-Akte Bl. 84). Rüge zurückgewiesen.</w:t>
      </w:r>
    </w:p>
    <w:p>
      <w:pPr>
        <w:jc w:val="left"/>
      </w:pPr>
      <w:r>
        <w:rPr>
          <w:b/>
        </w:rPr>
        <w:t>11:40 Uhr — Schluss</w:t>
      </w:r>
    </w:p>
    <w:p>
      <w:pPr>
        <w:jc w:val="left"/>
      </w:pPr>
      <w:r>
        <w:t xml:space="preserve">Der Senat kündigt Urteilsverkündung zum </w:t>
      </w:r>
      <w:r>
        <w:rPr>
          <w:b/>
        </w:rPr>
        <w:t>30.04.2028</w:t>
      </w:r>
      <w:r>
        <w:t xml:space="preserve"> an.</w:t>
      </w:r>
    </w:p>
    <w:p>
      <w:pPr>
        <w:jc w:val="left"/>
      </w:pPr>
      <w:r>
        <w:t>gez. Dr. Vogelstrom | gez. Hörmann (UdG)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