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Revisionserwiderung der Klägerin Pohlmann</w:t>
      </w:r>
    </w:p>
    <w:p>
      <w:pPr>
        <w:pStyle w:val="Heading2"/>
      </w:pPr>
      <w:r>
        <w:rPr>
          <w:rFonts w:ascii="Times New Roman" w:hAnsi="Times New Roman"/>
        </w:rPr>
        <w:t>Schriftsatz vom 30.09.2028</w:t>
      </w:r>
    </w:p>
    <w:p>
      <w:pPr>
        <w:jc w:val="left"/>
      </w:pPr>
      <w:r>
        <w:rPr>
          <w:b/>
        </w:rPr>
        <w:t>Az. BGH:</w:t>
      </w:r>
      <w:r>
        <w:t xml:space="preserve"> VII ZR 2188/26</w:t>
      </w:r>
    </w:p>
    <w:p>
      <w:pPr>
        <w:jc w:val="left"/>
      </w:pPr>
      <w:r>
        <w:rPr>
          <w:b/>
        </w:rPr>
        <w:t>Verfasser:</w:t>
      </w:r>
      <w:r>
        <w:t xml:space="preserve"> RA Dr. Elke Schottmann (zugelassene Rechtsanwältin beim BGH), Frankfurt am Main</w:t>
      </w:r>
    </w:p>
    <w:p>
      <w:pPr>
        <w:jc w:val="left"/>
      </w:pPr>
      <w:r>
        <w:t>(Submandat von Dr. Roosendaal)</w:t>
      </w:r>
    </w:p>
    <w:p/>
    <w:p>
      <w:pPr>
        <w:pStyle w:val="Heading2"/>
      </w:pPr>
      <w:r>
        <w:rPr>
          <w:rFonts w:ascii="Times New Roman" w:hAnsi="Times New Roman"/>
        </w:rPr>
        <w:t>Anträge der Revisionsbeklagten</w:t>
      </w:r>
    </w:p>
    <w:p>
      <w:pPr>
        <w:jc w:val="left"/>
      </w:pPr>
      <w:r>
        <w:t>Die Klägerin beantragt:</w:t>
      </w:r>
    </w:p>
    <w:p>
      <w:pPr>
        <w:jc w:val="left"/>
      </w:pPr>
      <w:r>
        <w:rPr>
          <w:b/>
        </w:rPr>
        <w:t>1.</w:t>
      </w:r>
      <w:r>
        <w:t xml:space="preserve"> Die Revision wird zurückgewiesen.</w:t>
      </w:r>
    </w:p>
    <w:p>
      <w:pPr>
        <w:jc w:val="left"/>
      </w:pPr>
      <w:r>
        <w:rPr>
          <w:b/>
        </w:rPr>
        <w:t>2.</w:t>
      </w:r>
      <w:r>
        <w:t xml:space="preserve"> Die Kosten des Revisionsverfahrens trägt die Beklagte.</w:t>
      </w:r>
    </w:p>
    <w:p/>
    <w:p>
      <w:pPr>
        <w:pStyle w:val="Heading2"/>
      </w:pPr>
      <w:r>
        <w:rPr>
          <w:rFonts w:ascii="Times New Roman" w:hAnsi="Times New Roman"/>
        </w:rPr>
        <w:t>Revisionserwiderung</w:t>
      </w:r>
    </w:p>
    <w:p>
      <w:pPr>
        <w:pStyle w:val="Heading3"/>
      </w:pPr>
      <w:r>
        <w:rPr>
          <w:rFonts w:ascii="Times New Roman" w:hAnsi="Times New Roman"/>
        </w:rPr>
        <w:t>I. Zur Frage der grundsätzlichen Bedeutung</w:t>
      </w:r>
    </w:p>
    <w:p>
      <w:pPr>
        <w:jc w:val="left"/>
      </w:pPr>
      <w:r>
        <w:t>Die Revisionsführerin behauptet, die Rechtsfrage zur AGB-Klausel habe grundsätzliche Bedeutung. Tatsächlich ist die Frage auf Grundlage bestehender BGH-Rechtsprechung lösbar; einer weiteren Klärung bedarf es nicht.</w:t>
      </w:r>
    </w:p>
    <w:p>
      <w:pPr>
        <w:jc w:val="left"/>
      </w:pPr>
      <w:r>
        <w:t>Der BGH hat bereits in VII ZR 282/14 und VII ZR 175/14 klargestellt:</w:t>
      </w:r>
    </w:p>
    <w:p>
      <w:pPr>
        <w:pStyle w:val="ListNumber"/>
      </w:pPr>
      <w:r>
        <w:t>Werkvertragliche AGB-Klauseln, die Auftraggebern Risiken aufbürden, die dem Risikobereich des Auftragnehmers als Fachunternehmer zuzuordnen sind, sind nach § 307 BGB unwirksam.</w:t>
      </w:r>
    </w:p>
    <w:p>
      <w:pPr>
        <w:pStyle w:val="ListNumber"/>
      </w:pPr>
      <w:r>
        <w:t>Bei Verbraucherverträgen ist ein strengerer Maßstab anzulegen.</w:t>
      </w:r>
    </w:p>
    <w:p>
      <w:pPr>
        <w:jc w:val="left"/>
      </w:pPr>
      <w:r>
        <w:t>Die Frage ist damit durch höchstrichterliche Rechtsprechung bereits hinreichend beantwortet; grundsätzliche Bedeutung i.S.d. § 543 Abs. 2 Nr. 1 ZPO liegt nicht vor. Die Revisionszulassung durch das OLG war möglicherweise zu großzügig; der BGH kann die Revision nach § 552a ZPO auch durch Beschluss zurückweisen.</w:t>
      </w:r>
    </w:p>
    <w:p>
      <w:pPr>
        <w:pStyle w:val="Heading3"/>
      </w:pPr>
      <w:r>
        <w:rPr>
          <w:rFonts w:ascii="Times New Roman" w:hAnsi="Times New Roman"/>
        </w:rPr>
        <w:t>II. Zur Inhaltskontrolle § 307 BGB</w:t>
      </w:r>
    </w:p>
    <w:p>
      <w:pPr>
        <w:jc w:val="left"/>
      </w:pPr>
      <w:r>
        <w:t>Die AGB-Klausel § 9 des Werkvertrages ist eindeutig unwirksam:</w:t>
      </w:r>
    </w:p>
    <w:p>
      <w:pPr>
        <w:pStyle w:val="ListNumber"/>
      </w:pPr>
      <w:r>
        <w:rPr>
          <w:b/>
        </w:rPr>
        <w:t>Leitbildabweichung:</w:t>
      </w:r>
      <w:r>
        <w:t xml:space="preserve"> Das dispositive Gesetzesrecht sieht vor, dass der Unternehmer das Werkherstellungsrisiko trägt. § 631 BGB: Der Unternehmer ist zur Herstellung des versprochenen Werkes verpflichtet. Mehrkosten durch Erschwernisse der Herstellung trägt grundsätzlich der Unternehmer, wenn er sich nicht auf ein Leistungshindernis i.S.d. § 275 BGB berufen kann. Die Klausel weicht von diesem Leitbild ab.</w:t>
      </w:r>
    </w:p>
    <w:p>
      <w:pPr>
        <w:pStyle w:val="ListNumber"/>
      </w:pPr>
      <w:r>
        <w:rPr>
          <w:b/>
        </w:rPr>
        <w:t>Verbraucherschutz:</w:t>
      </w:r>
      <w:r>
        <w:t xml:space="preserve"> Die Klägerin ist Verbraucherin (§ 13 BGB). Bei Verbraucherverträgen ist die Inhaltskontrolle nach § 307 BGB besonders streng; der unternehmerische Vertragspartner hat die Klausel zu stellen. Die Beklagte hat die Klausel verwendet; sie muss sich die Formulierung zurechnen lassen.</w:t>
      </w:r>
    </w:p>
    <w:p>
      <w:pPr>
        <w:pStyle w:val="ListNumber"/>
      </w:pPr>
      <w:r>
        <w:rPr>
          <w:b/>
        </w:rPr>
        <w:t>Keine ausreichende Gegenleistung für das aufgebürdete Risiko:</w:t>
      </w:r>
      <w:r>
        <w:t xml:space="preserve"> Die Klausel enthält keine Begrenzung der Mehrkostenüberwälzung, keine Pflicht der Beklagten zur Kostenaufklärung und keine Obergrenzen. Der Klägerin wird damit ein unbegrenztes Risiko auferlegt.</w:t>
      </w:r>
    </w:p>
    <w:p>
      <w:pPr>
        <w:pStyle w:val="Heading3"/>
      </w:pPr>
      <w:r>
        <w:rPr>
          <w:rFonts w:ascii="Times New Roman" w:hAnsi="Times New Roman"/>
        </w:rPr>
        <w:t>III. Zur Hinweispflicht</w:t>
      </w:r>
    </w:p>
    <w:p>
      <w:pPr>
        <w:jc w:val="left"/>
      </w:pPr>
      <w:r>
        <w:t>Das OLG hat korrekt festgestellt, dass die Beklagte als Fachunternehmen die Bodenrisiken im Bereich einer ehemaligen Tankstelle kennen musste. Die Haftung für das Ingenieurbüro Weidinger (§ 278 BGB) begründet die Zurechnung des Wissens.</w:t>
      </w:r>
    </w:p>
    <w:p>
      <w:pPr>
        <w:pStyle w:val="Heading3"/>
      </w:pPr>
      <w:r>
        <w:rPr>
          <w:rFonts w:ascii="Times New Roman" w:hAnsi="Times New Roman"/>
        </w:rPr>
        <w:t>IV. Verfahrensrügen der Revisionsführerin</w:t>
      </w:r>
    </w:p>
    <w:p>
      <w:pPr>
        <w:jc w:val="left"/>
      </w:pPr>
      <w:r>
        <w:t>Die Revisionsführerin hat keine zulässige Verfahrensrüge erhoben; insbesondere fehlt eine Rüge nach § 554 Abs. 3 ZPO. Die Revisionsbegründung beschränkt sich auf materielle Rügen; diese greifen nicht durch.</w:t>
      </w:r>
    </w:p>
    <w:p/>
    <w:p>
      <w:pPr>
        <w:pStyle w:val="Heading2"/>
      </w:pPr>
      <w:r>
        <w:rPr>
          <w:rFonts w:ascii="Times New Roman" w:hAnsi="Times New Roman"/>
        </w:rPr>
        <w:t>Anmerkung Kanzlei Roosendaal</w:t>
      </w:r>
    </w:p>
    <w:p>
      <w:pPr>
        <w:jc w:val="left"/>
      </w:pPr>
      <w:r>
        <w:t>Die Revisionserwiderung ist strategisch wichtig. Das BGH VII. Zivilsenat ist für Werkvertragsrecht zuständig und hat in den vergangenen Jahren den Verbraucherschutz im Werkvertragsrecht gestärkt. Die Erfolgsaussichten der Revision sind nach anwaltlicher Einschätzung gering.</w:t>
      </w:r>
    </w:p>
    <w:p>
      <w:pPr>
        <w:jc w:val="left"/>
      </w:pPr>
      <w:r>
        <w:t>Gleichwohl ist mit einer Zurückverweisung durch den BGH zu rechnen, wenn der BGH die AGB-Frage anders bewertet oder weitere Sachverhaltsaufklärung für erforderlich hält (§ 563 Abs. 1 ZPO).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