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19 — Revisionsverhandlung BGH — Protokoll</w:t>
      </w:r>
    </w:p>
    <w:p>
      <w:pPr>
        <w:pStyle w:val="Heading2"/>
      </w:pPr>
      <w:r>
        <w:rPr>
          <w:rFonts w:ascii="Times New Roman" w:hAnsi="Times New Roman"/>
        </w:rPr>
        <w:t>Sitzungsprotokoll vom 14.05.2029</w:t>
      </w:r>
    </w:p>
    <w:p>
      <w:pPr>
        <w:jc w:val="left"/>
      </w:pPr>
      <w:r>
        <w:rPr>
          <w:b/>
        </w:rPr>
        <w:t>Az.:</w:t>
      </w:r>
      <w:r>
        <w:t xml:space="preserve"> BGH VII ZR 2188/26</w:t>
      </w:r>
    </w:p>
    <w:p>
      <w:pPr>
        <w:jc w:val="left"/>
      </w:pPr>
      <w:r>
        <w:rPr>
          <w:b/>
        </w:rPr>
        <w:t>Senat:</w:t>
      </w:r>
      <w:r>
        <w:t xml:space="preserve"> VII. Zivilsenat</w:t>
      </w:r>
    </w:p>
    <w:p>
      <w:pPr>
        <w:jc w:val="left"/>
      </w:pPr>
      <w:r>
        <w:rPr>
          <w:b/>
        </w:rPr>
        <w:t>Vorsitzender:</w:t>
      </w:r>
      <w:r>
        <w:t xml:space="preserve"> BGHRi Dr. Karl-Friedrich Menzel (Vorsitzender Richter am BGH)</w:t>
      </w:r>
    </w:p>
    <w:p>
      <w:pPr>
        <w:jc w:val="left"/>
      </w:pPr>
      <w:r>
        <w:rPr>
          <w:b/>
        </w:rPr>
        <w:t>Beisitzende:</w:t>
      </w:r>
      <w:r>
        <w:t xml:space="preserve"> BGHRin Dr. Petra Vormann, BGHRi Dr. Axel Grünfeld, BGHRin Dr. Ulrike Steinbach, BGHRi Dr. Jörg Heimann</w:t>
      </w:r>
    </w:p>
    <w:p>
      <w:pPr>
        <w:jc w:val="left"/>
      </w:pPr>
      <w:r>
        <w:rPr>
          <w:b/>
        </w:rPr>
        <w:t>Urkundsbeamtin:</w:t>
      </w:r>
      <w:r>
        <w:t xml:space="preserve"> Justizobersekretärin Hannelore Brose</w:t>
      </w:r>
    </w:p>
    <w:p>
      <w:pPr>
        <w:jc w:val="left"/>
      </w:pPr>
      <w:r>
        <w:rPr>
          <w:b/>
        </w:rPr>
        <w:t>Erschienen:</w:t>
      </w:r>
    </w:p>
    <w:p>
      <w:pPr>
        <w:pStyle w:val="ListBullet"/>
      </w:pPr>
      <w:r>
        <w:t>Revisionsführerin: vertreten durch RA Dr. Siegbert Wollner (BGH-Anwalt)</w:t>
      </w:r>
    </w:p>
    <w:p>
      <w:pPr>
        <w:pStyle w:val="ListBullet"/>
      </w:pPr>
      <w:r>
        <w:t>Revisionsbeklagte: vertreten durch RAin Dr. Elke Schottmann (BGH-Anwältin)</w:t>
      </w:r>
    </w:p>
    <w:p/>
    <w:p>
      <w:pPr>
        <w:pStyle w:val="Heading2"/>
      </w:pPr>
      <w:r>
        <w:rPr>
          <w:rFonts w:ascii="Times New Roman" w:hAnsi="Times New Roman"/>
        </w:rPr>
        <w:t>Verhandlung</w:t>
      </w:r>
    </w:p>
    <w:p>
      <w:pPr>
        <w:jc w:val="left"/>
      </w:pPr>
      <w:r>
        <w:rPr>
          <w:b/>
        </w:rPr>
        <w:t>10:00 Uhr — Eröffnung</w:t>
      </w:r>
    </w:p>
    <w:p>
      <w:pPr>
        <w:jc w:val="left"/>
      </w:pPr>
      <w:r>
        <w:t>Der Vorsitzende eröffnet die Verhandlung. Er berichtet, dass der Senat nach Vorberatung in folgenden Punkten zu einem vorläufigen Ergebnis gelangt ist:</w:t>
      </w:r>
    </w:p>
    <w:p>
      <w:pPr>
        <w:jc w:val="left"/>
      </w:pPr>
      <w:r>
        <w:rPr>
          <w:b/>
        </w:rPr>
        <w:t>Vorläufige Senatsauffassung:</w:t>
      </w:r>
    </w:p>
    <w:p>
      <w:pPr>
        <w:pStyle w:val="ListNumber"/>
      </w:pPr>
      <w:r>
        <w:t>Die Revision ist zulässig. Die Revisionszulassung durch das OLG ist wirksam; § 543 Abs. 2 ZPO wurde zutreffend angewendet.</w:t>
      </w:r>
    </w:p>
    <w:p>
      <w:pPr>
        <w:pStyle w:val="ListNumber"/>
      </w:pPr>
      <w:r>
        <w:t>Zur AGB-Klausel: Der Senat neigt dazu, die Klausel nach § 307 BGB für unwirksam zu halten, sieht aber Klärungsbedarf zur Frage, ob die Klägerin als Verbraucherin trotz anwaltlicher Beratung beim Vertragsschluss dasselbe Schutzniveau genießt wie ein völlig unberatener Verbraucher. Hierzu fehlt tatrichterliche Feststellung.</w:t>
      </w:r>
    </w:p>
    <w:p>
      <w:pPr>
        <w:pStyle w:val="ListNumber"/>
      </w:pPr>
      <w:r>
        <w:t>Der Senat erwägt daher, das Urteil aufzuheben und die Sache zur erneuten Verhandlung an das OLG zurückzuverweisen (§ 563 Abs. 1 ZPO).</w:t>
      </w:r>
    </w:p>
    <w:p>
      <w:pPr>
        <w:jc w:val="left"/>
      </w:pPr>
      <w:r>
        <w:rPr>
          <w:b/>
        </w:rPr>
        <w:t>10:20 Uhr — Plädoyer RA Dr. Wollner (für Revisionsführerin)</w:t>
      </w:r>
    </w:p>
    <w:p>
      <w:pPr>
        <w:jc w:val="left"/>
      </w:pPr>
      <w:r>
        <w:t>Dr. Wollner betont, dass die anwaltliche Beratung der Klägerin beim Vertragsschluss durch RA Gerber, Rosenheim, bewiesen sei und der Schutzgedanke des § 307 BGB bei beratenen Verbrauchern nicht mit gleicher Intensität greife.</w:t>
      </w:r>
    </w:p>
    <w:p>
      <w:pPr>
        <w:jc w:val="left"/>
      </w:pPr>
      <w:r>
        <w:rPr>
          <w:b/>
        </w:rPr>
        <w:t>10:50 Uhr — Plädoyer RAin Dr. Schottmann (für Revisionsbeklagte)</w:t>
      </w:r>
    </w:p>
    <w:p>
      <w:pPr>
        <w:jc w:val="left"/>
      </w:pPr>
      <w:r>
        <w:t>RAin Dr. Schottmann erwidert: Anwaltliche Beratung beim Vertragsschluss schließt den AGB-Schutz nach §§ 305 ff. BGB nicht aus. § 310 Abs. 3 BGB sieht ausdrücklich vor, dass AGB bei Verbraucherverträgen einer Inhaltskontrolle unterliegen, ohne dass es auf die individuelle Beratungssituation ankommt. Die Einschränkung des BGH kann nicht durch die Hintertür der Beratungssituation relativiert werden.</w:t>
      </w:r>
    </w:p>
    <w:p>
      <w:pPr>
        <w:jc w:val="left"/>
      </w:pPr>
      <w:r>
        <w:rPr>
          <w:b/>
        </w:rPr>
        <w:t>11:15 Uhr — Nachfrage des Senats</w:t>
      </w:r>
    </w:p>
    <w:p>
      <w:pPr>
        <w:jc w:val="left"/>
      </w:pPr>
      <w:r>
        <w:t>BGHRin Dr. Vormann (Berichterstatterin): „Hat das OLG Feststellungen zur anwaltlichen Beratungssituation beim Vertragsschluss getroffen?"</w:t>
      </w:r>
    </w:p>
    <w:p>
      <w:pPr>
        <w:jc w:val="left"/>
      </w:pPr>
      <w:r>
        <w:t>RA Dr. Wollner: „Nein, das OLG hat dies nicht festgestellt."</w:t>
      </w:r>
    </w:p>
    <w:p>
      <w:pPr>
        <w:jc w:val="left"/>
      </w:pPr>
      <w:r>
        <w:t>RAin Dr. Schottmann: „Korrekt — das OLG hat keine Feststellungen zur Beratungssituation getroffen, weil diese nach OLG-Auffassung für die AGB-Kontrolle irrelevant ist."</w:t>
      </w:r>
    </w:p>
    <w:p>
      <w:pPr>
        <w:jc w:val="left"/>
      </w:pPr>
      <w:r>
        <w:t>BGHRin Dr. Vormann: „Der Senat wird erwägen, ob diese Frage für den Ausgang des Verfahrens entscheidungserheblich ist."</w:t>
      </w:r>
    </w:p>
    <w:p>
      <w:pPr>
        <w:jc w:val="left"/>
      </w:pPr>
      <w:r>
        <w:rPr>
          <w:b/>
        </w:rPr>
        <w:t>11:35 Uhr — Schluss</w:t>
      </w:r>
    </w:p>
    <w:p>
      <w:pPr>
        <w:jc w:val="left"/>
      </w:pPr>
      <w:r>
        <w:t xml:space="preserve">Der Vorsitzende kündigt Urteilsverkündung zum </w:t>
      </w:r>
      <w:r>
        <w:rPr>
          <w:b/>
        </w:rPr>
        <w:t>10.09.2029</w:t>
      </w:r>
      <w:r>
        <w:t xml:space="preserve"> an.</w:t>
      </w:r>
    </w:p>
    <w:p>
      <w:pPr>
        <w:jc w:val="left"/>
      </w:pPr>
      <w:r>
        <w:t>gez. Dr. Menzel | gez. Brose (UdG)</w:t>
      </w:r>
    </w:p>
    <w:p/>
    <w:p>
      <w:pPr>
        <w:pStyle w:val="Heading2"/>
      </w:pPr>
      <w:r>
        <w:rPr>
          <w:rFonts w:ascii="Times New Roman" w:hAnsi="Times New Roman"/>
        </w:rPr>
        <w:t>Einschätzung Kanzlei Roosendaal (nach Verhandlung)</w:t>
      </w:r>
    </w:p>
    <w:p>
      <w:pPr>
        <w:jc w:val="left"/>
      </w:pPr>
      <w:r>
        <w:t>Der Senat signalisiert Zurückverweisung. Das ist prozessual nachteilig für die Mandantin (weitere Verzögerung), aber inhaltlich kein Rückschritt: Die Kernfrage der AGB-Unwirksamkeit bleibt offen, bis das OLG Feststellungen zur Beratungssituation getroffen hat. Im Falle der Zurückverweisung wird die Mandantin die Strategie anpassen müssen (Zeuge RA Gerber).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