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Zurückverweisung: Strategie für das neue OLG-Verfahren</w:t>
      </w:r>
    </w:p>
    <w:p>
      <w:pPr>
        <w:pStyle w:val="Heading2"/>
      </w:pPr>
      <w:r>
        <w:rPr>
          <w:rFonts w:ascii="Times New Roman" w:hAnsi="Times New Roman"/>
        </w:rPr>
        <w:t>Strategievermerk vom 25.09.2029</w:t>
      </w:r>
    </w:p>
    <w:p>
      <w:pPr>
        <w:jc w:val="left"/>
      </w:pPr>
      <w:r>
        <w:rPr>
          <w:b/>
        </w:rPr>
        <w:t>Erstellt von:</w:t>
      </w:r>
      <w:r>
        <w:t xml:space="preserve"> RA Dr. Mark Roosendaal</w:t>
      </w:r>
    </w:p>
    <w:p>
      <w:pPr>
        <w:jc w:val="left"/>
      </w:pPr>
      <w:r>
        <w:rPr>
          <w:b/>
        </w:rPr>
        <w:t>Betreff:</w:t>
      </w:r>
      <w:r>
        <w:t xml:space="preserve"> Strategie nach BGH-Zurückverweisung — Az. OLG München 13 U 417/29 (neues Verfahrenszeichen nach Zurückverweisung)</w:t>
      </w:r>
    </w:p>
    <w:p>
      <w:pPr>
        <w:jc w:val="left"/>
      </w:pPr>
      <w:r>
        <w:rPr>
          <w:b/>
        </w:rPr>
        <w:t>Streitgegenstand nach Zurückverweisung:</w:t>
      </w:r>
      <w:r>
        <w:t xml:space="preserve"> Ausschließlich die Frage, ob § 9 des Bauvertrages individuell ausgehandelt wurde</w:t>
      </w:r>
    </w:p>
    <w:p/>
    <w:p>
      <w:pPr>
        <w:pStyle w:val="Heading2"/>
      </w:pPr>
      <w:r>
        <w:rPr>
          <w:rFonts w:ascii="Times New Roman" w:hAnsi="Times New Roman"/>
        </w:rPr>
        <w:t>Ausgangslage nach BGH-Urteil</w:t>
      </w:r>
    </w:p>
    <w:p>
      <w:pPr>
        <w:jc w:val="left"/>
      </w:pPr>
      <w:r>
        <w:t>Der BGH hat die Verurteilung zur Zahlung von 109.700 EUR (Bodenaustausch-Mehrkosten) aufgehoben und die Sache zur erneuten Verhandlung zurückverwiesen. Der restliche Urteilsbetrag (429.950 EUR) ist rechtskräftig und kann vollstreckt werden.</w:t>
      </w:r>
    </w:p>
    <w:p>
      <w:pPr>
        <w:jc w:val="left"/>
      </w:pPr>
      <w:r>
        <w:t>Die Schlüsselfrage des neuen Verfahrens: Hat RA Gerber die Klägerin bei § 9 des Vertrages anwaltlich beraten, und wurde § 9 individuell ausgehandelt?</w:t>
      </w:r>
    </w:p>
    <w:p/>
    <w:p>
      <w:pPr>
        <w:pStyle w:val="Heading2"/>
      </w:pPr>
      <w:r>
        <w:rPr>
          <w:rFonts w:ascii="Times New Roman" w:hAnsi="Times New Roman"/>
        </w:rPr>
        <w:t>Beweissituation</w:t>
      </w:r>
    </w:p>
    <w:p>
      <w:pPr>
        <w:jc w:val="left"/>
      </w:pPr>
      <w:r>
        <w:rPr>
          <w:b/>
        </w:rPr>
        <w:t>Für die Klägerin (Individualaushandeln NICHT nachgewiesen):</w:t>
      </w:r>
    </w:p>
    <w:p>
      <w:pPr>
        <w:pStyle w:val="ListBullet"/>
      </w:pPr>
      <w:r>
        <w:t>Der Bauvertrag wurde als vorformulierter Standardvertrag von der Beklagten vorgelegt.</w:t>
      </w:r>
    </w:p>
    <w:p>
      <w:pPr>
        <w:pStyle w:val="ListBullet"/>
      </w:pPr>
      <w:r>
        <w:t>RA Gerber berichtete (auf Anfrage, schriftliche Stellungnahme Anlage Z 1): Er habe den Vertrag grundsätzlich durchgesehen, aber § 9 nicht gesondert besprochen, da er die Klausel für „standardmäßig" hielt.</w:t>
      </w:r>
    </w:p>
    <w:p>
      <w:pPr>
        <w:pStyle w:val="ListBullet"/>
      </w:pPr>
      <w:r>
        <w:t>Es gibt keine Änderungen am ursprünglichen Vertragsentwurf (Vergleich Entwurf v. 05.03.2022 mit Endfassung v. 12.03.2022: identisch — Anlage Z 2).</w:t>
      </w:r>
    </w:p>
    <w:p>
      <w:pPr>
        <w:pStyle w:val="ListBullet"/>
      </w:pPr>
      <w:r>
        <w:t>Nach BGH-Rechtsprechung liegt „Individualaushandlung" nur vor, wenn der Klauselverwender den Kern der AGB „ernsthaft zur Disposition stellt" (BGH NJW 2014, 1171). Das war hier nicht der Fall.</w:t>
      </w:r>
    </w:p>
    <w:p>
      <w:pPr>
        <w:jc w:val="left"/>
      </w:pPr>
      <w:r>
        <w:rPr>
          <w:b/>
        </w:rPr>
        <w:t>Für die Beklagte:</w:t>
      </w:r>
    </w:p>
    <w:p>
      <w:pPr>
        <w:pStyle w:val="ListBullet"/>
      </w:pPr>
      <w:r>
        <w:t>RA Gerber war mandatiert und hat den Vertrag mitunterzeichnet.</w:t>
      </w:r>
    </w:p>
    <w:p>
      <w:pPr>
        <w:pStyle w:val="ListBullet"/>
      </w:pPr>
      <w:r>
        <w:t>Beweis: Zeugnis RA Gerber.</w:t>
      </w:r>
    </w:p>
    <w:p/>
    <w:p>
      <w:pPr>
        <w:pStyle w:val="Heading2"/>
      </w:pPr>
      <w:r>
        <w:rPr>
          <w:rFonts w:ascii="Times New Roman" w:hAnsi="Times New Roman"/>
        </w:rPr>
        <w:t>Strategie Klägerseite</w:t>
      </w:r>
    </w:p>
    <w:p>
      <w:pPr>
        <w:pStyle w:val="Heading3"/>
      </w:pPr>
      <w:r>
        <w:rPr>
          <w:rFonts w:ascii="Times New Roman" w:hAnsi="Times New Roman"/>
        </w:rPr>
        <w:t>Schritt 1 — Zeugnis RA Gerber</w:t>
      </w:r>
    </w:p>
    <w:p>
      <w:pPr>
        <w:jc w:val="left"/>
      </w:pPr>
      <w:r>
        <w:t>RA Gerber ist zu benennen und zu befragen: Hat er § 9 gesondert besprochen? Hat er eine Änderung versucht oder die Klausel als verhandelbar bezeichnet? Seine schriftliche Stellungnahme (Anlage Z 1) deutet auf Verneinung hin; als Zeuge wird er dies bestätigen müssen.</w:t>
      </w:r>
    </w:p>
    <w:p>
      <w:pPr>
        <w:pStyle w:val="Heading3"/>
      </w:pPr>
      <w:r>
        <w:rPr>
          <w:rFonts w:ascii="Times New Roman" w:hAnsi="Times New Roman"/>
        </w:rPr>
        <w:t>Schritt 2 — Dokumentenanalyse (Vergleich Entwurf/Endfassung)</w:t>
      </w:r>
    </w:p>
    <w:p>
      <w:pPr>
        <w:jc w:val="left"/>
      </w:pPr>
      <w:r>
        <w:t>Die identischen Vertragsfassungen (Entwurf vs. Endfassung) belegen, dass keine Verhandlung stattgefunden hat. Diese Urkunden sind dem Gericht als Anlage Z 2 vorzulegen.</w:t>
      </w:r>
    </w:p>
    <w:p>
      <w:pPr>
        <w:pStyle w:val="Heading3"/>
      </w:pPr>
      <w:r>
        <w:rPr>
          <w:rFonts w:ascii="Times New Roman" w:hAnsi="Times New Roman"/>
        </w:rPr>
        <w:t>Schritt 3 — Rechtliche Argumentation</w:t>
      </w:r>
    </w:p>
    <w:p>
      <w:pPr>
        <w:jc w:val="left"/>
      </w:pPr>
      <w:r>
        <w:t>„Individualaushandeln" i.S.d. § 305 Abs. 1 S. 3 BGB erfordert:</w:t>
      </w:r>
    </w:p>
    <w:p>
      <w:pPr>
        <w:pStyle w:val="ListNumber"/>
      </w:pPr>
      <w:r>
        <w:t>Bereitschaft des Verwenders zur Änderung (fehlt hier: Beklagte hat Standardvertrag verwendet)</w:t>
      </w:r>
    </w:p>
    <w:p>
      <w:pPr>
        <w:pStyle w:val="ListNumber"/>
      </w:pPr>
      <w:r>
        <w:t>Tatsächliche inhaltliche Auseinandersetzung mit der Klausel</w:t>
      </w:r>
    </w:p>
    <w:p>
      <w:pPr>
        <w:pStyle w:val="ListNumber"/>
      </w:pPr>
      <w:r>
        <w:t>Möglichkeit des Vertragspartners, auf den Inhalt Einfluss zu nehmen</w:t>
      </w:r>
    </w:p>
    <w:p>
      <w:pPr>
        <w:jc w:val="left"/>
      </w:pPr>
      <w:r>
        <w:t>Alle drei Voraussetzungen sind nach dem Sachverhalt nicht erfüllt.</w:t>
      </w:r>
    </w:p>
    <w:p>
      <w:pPr>
        <w:pStyle w:val="Heading3"/>
      </w:pPr>
      <w:r>
        <w:rPr>
          <w:rFonts w:ascii="Times New Roman" w:hAnsi="Times New Roman"/>
        </w:rPr>
        <w:t>Schritt 4 — Folgeabwägung</w:t>
      </w:r>
    </w:p>
    <w:p>
      <w:pPr>
        <w:jc w:val="left"/>
      </w:pPr>
      <w:r>
        <w:t>Wenn das OLG § 9 als unwirksam bestätigt: Anspruch auf 109.700 EUR zugesprochen; Gesamtbetrag 429.950 + 109.700 = 539.650 EUR (volle Klageforderung).</w:t>
      </w:r>
    </w:p>
    <w:p/>
    <w:p>
      <w:pPr>
        <w:pStyle w:val="Heading2"/>
      </w:pPr>
      <w:r>
        <w:rPr>
          <w:rFonts w:ascii="Times New Roman" w:hAnsi="Times New Roman"/>
        </w:rPr>
        <w:t>Vollstreckung des rechtskräftigen Teils</w:t>
      </w:r>
    </w:p>
    <w:p>
      <w:pPr>
        <w:jc w:val="left"/>
      </w:pPr>
      <w:r>
        <w:t>Aus dem rechtskräftigen Teil des OLG-Urteils (429.950 EUR) wird die Mandantin Vollstreckung betreiben. Die Beklagte hat die Zahlung noch nicht geleistet; RA Dr. Roosendaal hat am 20.09.2029 die vollstreckbare Ausfertigung beantragt.</w:t>
      </w:r>
    </w:p>
    <w:p/>
    <w:p>
      <w:pPr>
        <w:pStyle w:val="Heading2"/>
      </w:pPr>
      <w:r>
        <w:rPr>
          <w:rFonts w:ascii="Times New Roman" w:hAnsi="Times New Roman"/>
        </w:rPr>
        <w:t>Vollstreckungsabwehrklage der Beklagten nach § 767 ZPO</w:t>
      </w:r>
    </w:p>
    <w:p>
      <w:pPr>
        <w:jc w:val="left"/>
      </w:pPr>
      <w:r>
        <w:t>Die Beklagte hat am 18.09.2029 Vollstreckungsabwehrklage nach § 767 ZPO erhoben (LG Traunstein, neues Az.). Begründung: Aufrechnung mit einem angeblichen Werklohnrestanspruch aus dem Bodenaustausch. Diese Klage ist unbegründet:</w:t>
      </w:r>
    </w:p>
    <w:p>
      <w:pPr>
        <w:pStyle w:val="ListNumber"/>
      </w:pPr>
      <w:r>
        <w:t>Der Werklohnrestanspruch der Beklagten wurde durch das LG-Urteil abgewiesen und ist rechtskräftig.</w:t>
      </w:r>
    </w:p>
    <w:p>
      <w:pPr>
        <w:pStyle w:val="ListNumber"/>
      </w:pPr>
      <w:r>
        <w:t>Eine Aufrechnung mit einem rechtskräftig abgewiesenen Anspruch ist unzulässig.</w:t>
      </w:r>
    </w:p>
    <w:p>
      <w:pPr>
        <w:pStyle w:val="ListNumber"/>
      </w:pPr>
      <w:r>
        <w:t>§ 767 ZPO setzt voraus, dass die eingewendeten Gründe erst nach Schluss der letzten mündlichen Verhandlung entstanden sind — das ist hier nicht der Fall.</w:t>
      </w:r>
    </w:p>
    <w:p>
      <w:pPr>
        <w:jc w:val="left"/>
      </w:pPr>
      <w:r>
        <w:rPr>
          <w:b/>
        </w:rPr>
        <w:t>Empfehlung:</w:t>
      </w:r>
      <w:r>
        <w:t xml:space="preserve"> Abweisung der Vollstreckungsabwehrklage beantragen.</w:t>
      </w:r>
    </w:p>
    <w:p/>
    <w:p>
      <w:pPr>
        <w:pStyle w:val="Heading2"/>
      </w:pPr>
      <w:r>
        <w:rPr>
          <w:rFonts w:ascii="Times New Roman" w:hAnsi="Times New Roman"/>
        </w:rPr>
        <w:t>Zeitplanung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Zieldatum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Neues Az. OLG München nach Zurückverweisung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Oktober 2029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Schriftsatz Klägerin (Beweisangebote)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November 2029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Mündliche Verhandlung OLG (voraussichtlich)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Zweites OLG-Urteil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Mai/Juni 2030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Zweite Revision (falls Beklagte erneut angreift)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frühestens 2031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