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Versicherungen und öffentliche Lasten</w:t>
      </w:r>
    </w:p>
    <w:p>
      <w:pPr>
        <w:ind w:left="567"/>
      </w:pPr>
      <w:r>
        <w:rPr>
          <w:b/>
          <w:i/>
        </w:rPr>
        <w:t>Aktenzeichen:</w:t>
      </w:r>
      <w:r>
        <w:rPr>
          <w:i/>
        </w:rPr>
        <w:t xml:space="preserve"> 76 L 88/26</w:t>
      </w:r>
    </w:p>
    <w:p>
      <w:pPr>
        <w:ind w:left="567"/>
      </w:pPr>
      <w:r>
        <w:rPr>
          <w:b/>
          <w:i/>
        </w:rPr>
        <w:t>Bearbeiterin:</w:t>
      </w:r>
      <w:r>
        <w:rPr>
          <w:i/>
        </w:rPr>
        <w:t xml:space="preserve"> Julia Renner, Zwangsverwalterin</w:t>
      </w:r>
    </w:p>
    <w:p>
      <w:pPr>
        <w:ind w:left="567"/>
      </w:pPr>
      <w:r>
        <w:rPr>
          <w:b/>
          <w:i/>
        </w:rPr>
        <w:t>Stand:</w:t>
      </w:r>
      <w:r>
        <w:rPr>
          <w:i/>
        </w:rPr>
        <w:t xml:space="preserve"> 15. Mai 2026</w:t>
      </w:r>
    </w:p>
    <w:p/>
    <w:p>
      <w:pPr>
        <w:pStyle w:val="Heading2"/>
      </w:pPr>
      <w:r>
        <w:rPr>
          <w:rFonts w:ascii="Times New Roman" w:hAnsi="Times New Roman"/>
        </w:rPr>
        <w:t>1. Gebäudeversicherung</w:t>
      </w:r>
    </w:p>
    <w:p>
      <w:pPr>
        <w:pStyle w:val="Heading3"/>
      </w:pPr>
      <w:r>
        <w:rPr>
          <w:rFonts w:ascii="Times New Roman" w:hAnsi="Times New Roman"/>
        </w:rPr>
        <w:t>1.1 Bestandsvertrag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Versicherer</w:t>
            </w:r>
          </w:p>
        </w:tc>
        <w:tc>
          <w:tcPr>
            <w:tcW w:type="dxa" w:w="4536"/>
          </w:tcPr>
          <w:p>
            <w:r>
              <w:rPr>
                <w:rFonts w:ascii="Times New Roman" w:hAnsi="Times New Roman"/>
                <w:sz w:val="20"/>
              </w:rPr>
              <w:t>Leipziger Feuerkasse VVaG</w:t>
            </w:r>
          </w:p>
        </w:tc>
      </w:tr>
      <w:tr>
        <w:tc>
          <w:tcPr>
            <w:tcW w:type="dxa" w:w="4536"/>
          </w:tcPr>
          <w:p>
            <w:r>
              <w:rPr>
                <w:rFonts w:ascii="Times New Roman" w:hAnsi="Times New Roman"/>
                <w:sz w:val="20"/>
              </w:rPr>
              <w:t>Policeninhaber</w:t>
            </w:r>
          </w:p>
        </w:tc>
        <w:tc>
          <w:tcPr>
            <w:tcW w:type="dxa" w:w="4536"/>
          </w:tcPr>
          <w:p>
            <w:r>
              <w:rPr>
                <w:rFonts w:ascii="Times New Roman" w:hAnsi="Times New Roman"/>
                <w:sz w:val="20"/>
              </w:rPr>
              <w:t>Markus Feldmann</w:t>
            </w:r>
          </w:p>
        </w:tc>
      </w:tr>
      <w:tr>
        <w:tc>
          <w:tcPr>
            <w:tcW w:type="dxa" w:w="4536"/>
          </w:tcPr>
          <w:p>
            <w:r>
              <w:rPr>
                <w:rFonts w:ascii="Times New Roman" w:hAnsi="Times New Roman"/>
                <w:sz w:val="20"/>
              </w:rPr>
              <w:t>Policennummer</w:t>
            </w:r>
          </w:p>
        </w:tc>
        <w:tc>
          <w:tcPr>
            <w:tcW w:type="dxa" w:w="4536"/>
          </w:tcPr>
          <w:p>
            <w:r>
              <w:rPr>
                <w:rFonts w:ascii="Times New Roman" w:hAnsi="Times New Roman"/>
                <w:sz w:val="20"/>
              </w:rPr>
              <w:t>LFK-2019-884-4421</w:t>
            </w:r>
          </w:p>
        </w:tc>
      </w:tr>
      <w:tr>
        <w:tc>
          <w:tcPr>
            <w:tcW w:type="dxa" w:w="4536"/>
          </w:tcPr>
          <w:p>
            <w:r>
              <w:rPr>
                <w:rFonts w:ascii="Times New Roman" w:hAnsi="Times New Roman"/>
                <w:sz w:val="20"/>
              </w:rPr>
              <w:t>Versicherungsgegenstand</w:t>
            </w:r>
          </w:p>
        </w:tc>
        <w:tc>
          <w:tcPr>
            <w:tcW w:type="dxa" w:w="4536"/>
          </w:tcPr>
          <w:p>
            <w:r>
              <w:rPr>
                <w:rFonts w:ascii="Times New Roman" w:hAnsi="Times New Roman"/>
                <w:sz w:val="20"/>
              </w:rPr>
              <w:t>Gebäude Parkstraße 18, 04107 Leipzig</w:t>
            </w:r>
          </w:p>
        </w:tc>
      </w:tr>
      <w:tr>
        <w:tc>
          <w:tcPr>
            <w:tcW w:type="dxa" w:w="4536"/>
          </w:tcPr>
          <w:p>
            <w:r>
              <w:rPr>
                <w:rFonts w:ascii="Times New Roman" w:hAnsi="Times New Roman"/>
                <w:sz w:val="20"/>
              </w:rPr>
              <w:t>Deckungsumfang</w:t>
            </w:r>
          </w:p>
        </w:tc>
        <w:tc>
          <w:tcPr>
            <w:tcW w:type="dxa" w:w="4536"/>
          </w:tcPr>
          <w:p>
            <w:r>
              <w:rPr>
                <w:rFonts w:ascii="Times New Roman" w:hAnsi="Times New Roman"/>
                <w:sz w:val="20"/>
              </w:rPr>
              <w:t>Feuer, Leitungswasser, Sturm/Hagel, Elementarschäden</w:t>
            </w:r>
          </w:p>
        </w:tc>
      </w:tr>
      <w:tr>
        <w:tc>
          <w:tcPr>
            <w:tcW w:type="dxa" w:w="4536"/>
          </w:tcPr>
          <w:p>
            <w:r>
              <w:rPr>
                <w:rFonts w:ascii="Times New Roman" w:hAnsi="Times New Roman"/>
                <w:sz w:val="20"/>
              </w:rPr>
              <w:t>Jahresprämie</w:t>
            </w:r>
          </w:p>
        </w:tc>
        <w:tc>
          <w:tcPr>
            <w:tcW w:type="dxa" w:w="4536"/>
          </w:tcPr>
          <w:p>
            <w:r>
              <w:rPr>
                <w:rFonts w:ascii="Times New Roman" w:hAnsi="Times New Roman"/>
                <w:sz w:val="20"/>
              </w:rPr>
              <w:t>4.960,00 EUR (fällig halbjährlich: 01.01. und 01.07.)</w:t>
            </w:r>
          </w:p>
        </w:tc>
      </w:tr>
      <w:tr>
        <w:tc>
          <w:tcPr>
            <w:tcW w:type="dxa" w:w="4536"/>
          </w:tcPr>
          <w:p>
            <w:r>
              <w:rPr>
                <w:rFonts w:ascii="Times New Roman" w:hAnsi="Times New Roman"/>
                <w:sz w:val="20"/>
              </w:rPr>
              <w:t>Rückstand zum 03.05.2026</w:t>
            </w:r>
          </w:p>
        </w:tc>
        <w:tc>
          <w:tcPr>
            <w:tcW w:type="dxa" w:w="4536"/>
          </w:tcPr>
          <w:p>
            <w:r>
              <w:rPr>
                <w:rFonts w:ascii="Times New Roman" w:hAnsi="Times New Roman"/>
                <w:sz w:val="20"/>
              </w:rPr>
              <w:t>2.480,00 EUR (Halbjahresprämie Jan–Jun 2026 unbezahlt)</w:t>
            </w:r>
          </w:p>
        </w:tc>
      </w:tr>
      <w:tr>
        <w:tc>
          <w:tcPr>
            <w:tcW w:type="dxa" w:w="4536"/>
          </w:tcPr>
          <w:p>
            <w:r>
              <w:rPr>
                <w:rFonts w:ascii="Times New Roman" w:hAnsi="Times New Roman"/>
                <w:sz w:val="20"/>
              </w:rPr>
              <w:t>Kündigungsandrohung</w:t>
            </w:r>
          </w:p>
        </w:tc>
        <w:tc>
          <w:tcPr>
            <w:tcW w:type="dxa" w:w="4536"/>
          </w:tcPr>
          <w:p>
            <w:r>
              <w:rPr>
                <w:rFonts w:ascii="Times New Roman" w:hAnsi="Times New Roman"/>
                <w:sz w:val="20"/>
              </w:rPr>
              <w:t>ja, zum 31.05.2026 (Mahnung der LFK vom 28.04.2026 liegt vor)</w:t>
            </w:r>
          </w:p>
        </w:tc>
      </w:tr>
    </w:tbl>
    <w:p>
      <w:pPr>
        <w:pStyle w:val="Heading3"/>
      </w:pPr>
      <w:r>
        <w:rPr>
          <w:rFonts w:ascii="Times New Roman" w:hAnsi="Times New Roman"/>
        </w:rPr>
        <w:t>1.2 Sofortmaßnahme</w:t>
      </w:r>
    </w:p>
    <w:p>
      <w:pPr>
        <w:jc w:val="left"/>
      </w:pPr>
      <w:r>
        <w:t xml:space="preserve">Da eine Deckungslücke bei einem Mehrfamilienhaus mit laufendem Mietbetrieb nicht tolerierbar ist, wurde der </w:t>
      </w:r>
      <w:r>
        <w:rPr>
          <w:b/>
        </w:rPr>
        <w:t>Rückstand von 2.480,00 EUR</w:t>
      </w:r>
      <w:r>
        <w:t xml:space="preserve"> am </w:t>
      </w:r>
      <w:r>
        <w:rPr>
          <w:b/>
        </w:rPr>
        <w:t>12.05.2026 aus dem Verfahrensvorschuss</w:t>
      </w:r>
      <w:r>
        <w:t xml:space="preserve"> beglichen (vgl. Kassenbuch Beleg R001). Die Zwangsverwalterin hat sich mit der Sachsen Kreditbank AG als Grundpfandgläubigerin und gemäß § 21 Abs. 2 ZwVwV abgestimmt.</w:t>
      </w:r>
    </w:p>
    <w:p>
      <w:pPr>
        <w:pStyle w:val="Heading3"/>
      </w:pPr>
      <w:r>
        <w:rPr>
          <w:rFonts w:ascii="Times New Roman" w:hAnsi="Times New Roman"/>
        </w:rPr>
        <w:t>1.3 Umstellung auf Eigenbestand</w:t>
      </w:r>
    </w:p>
    <w:p>
      <w:pPr>
        <w:jc w:val="left"/>
      </w:pPr>
      <w:r>
        <w:t>Mit Schreiben vom 14.05.2026 hat die Zwangsverwalterin die Leipziger Feuerkasse informiert, dass das Objekt unter Zwangsverwaltung steht und Prämienzahlungen künftig vom Treuhandkonto erfolgen. Ein Nachtrag zur Police wurde angefordert. Pflichtteilsnachweis gemäß § 1128 BGB für die Sachsen Kreditbank AG als eingetragene Grundpfandgläubigerin wird beantragt.</w:t>
      </w:r>
    </w:p>
    <w:p>
      <w:pPr>
        <w:pStyle w:val="Heading3"/>
      </w:pPr>
      <w:r>
        <w:rPr>
          <w:rFonts w:ascii="Times New Roman" w:hAnsi="Times New Roman"/>
        </w:rPr>
        <w:t>1.4 Prüfung Haftpflichtschutz</w:t>
      </w:r>
    </w:p>
    <w:p>
      <w:pPr>
        <w:jc w:val="left"/>
      </w:pPr>
      <w:r>
        <w:t>Die Gebäudehaftpflicht ist in der Police LFK-2019-884-4421 mitversichert. Aufgrund des losen Dachrinnen-Vorfalls (07.05.2026) wurde der Versicherer präventiv informiert; Schadenfall ist noch nicht eingetreten.</w:t>
      </w:r>
    </w:p>
    <w:p/>
    <w:p>
      <w:pPr>
        <w:pStyle w:val="Heading2"/>
      </w:pPr>
      <w:r>
        <w:rPr>
          <w:rFonts w:ascii="Times New Roman" w:hAnsi="Times New Roman"/>
        </w:rPr>
        <w:t>2. Weitere Versicherungen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Versicherung</w:t>
            </w:r>
          </w:p>
        </w:tc>
        <w:tc>
          <w:tcPr>
            <w:tcW w:type="dxa" w:w="2268"/>
          </w:tcPr>
          <w:p>
            <w:r>
              <w:rPr>
                <w:rFonts w:ascii="Times New Roman" w:hAnsi="Times New Roman"/>
                <w:b/>
                <w:sz w:val="20"/>
              </w:rPr>
              <w:t>Versicherer</w:t>
            </w:r>
          </w:p>
        </w:tc>
        <w:tc>
          <w:tcPr>
            <w:tcW w:type="dxa" w:w="2268"/>
          </w:tcPr>
          <w:p>
            <w:r>
              <w:rPr>
                <w:rFonts w:ascii="Times New Roman" w:hAnsi="Times New Roman"/>
                <w:b/>
                <w:sz w:val="20"/>
              </w:rPr>
              <w:t>Status</w:t>
            </w:r>
          </w:p>
        </w:tc>
        <w:tc>
          <w:tcPr>
            <w:tcW w:type="dxa" w:w="2268"/>
          </w:tcPr>
          <w:p>
            <w:r>
              <w:rPr>
                <w:rFonts w:ascii="Times New Roman" w:hAnsi="Times New Roman"/>
                <w:b/>
                <w:sz w:val="20"/>
              </w:rPr>
              <w:t>Handlungsbedarf</w:t>
            </w:r>
          </w:p>
        </w:tc>
      </w:tr>
      <w:tr>
        <w:tc>
          <w:tcPr>
            <w:tcW w:type="dxa" w:w="2268"/>
          </w:tcPr>
          <w:p>
            <w:r>
              <w:rPr>
                <w:rFonts w:ascii="Times New Roman" w:hAnsi="Times New Roman"/>
                <w:sz w:val="20"/>
              </w:rPr>
              <w:t>Haus- und Grundbesitzerhaftpflicht</w:t>
            </w:r>
          </w:p>
        </w:tc>
        <w:tc>
          <w:tcPr>
            <w:tcW w:type="dxa" w:w="2268"/>
          </w:tcPr>
          <w:p>
            <w:r>
              <w:rPr>
                <w:rFonts w:ascii="Times New Roman" w:hAnsi="Times New Roman"/>
                <w:sz w:val="20"/>
              </w:rPr>
              <w:t>in Gebäudepolice LFK enthalten</w:t>
            </w:r>
          </w:p>
        </w:tc>
        <w:tc>
          <w:tcPr>
            <w:tcW w:type="dxa" w:w="2268"/>
          </w:tcPr>
          <w:p>
            <w:r>
              <w:rPr>
                <w:rFonts w:ascii="Times New Roman" w:hAnsi="Times New Roman"/>
                <w:sz w:val="20"/>
              </w:rPr>
              <w:t>aktiv</w:t>
            </w:r>
          </w:p>
        </w:tc>
        <w:tc>
          <w:tcPr>
            <w:tcW w:type="dxa" w:w="2268"/>
          </w:tcPr>
          <w:p>
            <w:r>
              <w:rPr>
                <w:rFonts w:ascii="Times New Roman" w:hAnsi="Times New Roman"/>
                <w:sz w:val="20"/>
              </w:rPr>
              <w:t>keiner nach Prämienausgleich</w:t>
            </w:r>
          </w:p>
        </w:tc>
      </w:tr>
      <w:tr>
        <w:tc>
          <w:tcPr>
            <w:tcW w:type="dxa" w:w="2268"/>
          </w:tcPr>
          <w:p>
            <w:r>
              <w:rPr>
                <w:rFonts w:ascii="Times New Roman" w:hAnsi="Times New Roman"/>
                <w:sz w:val="20"/>
              </w:rPr>
              <w:t>Leitungswasserversicherung</w:t>
            </w:r>
          </w:p>
        </w:tc>
        <w:tc>
          <w:tcPr>
            <w:tcW w:type="dxa" w:w="2268"/>
          </w:tcPr>
          <w:p>
            <w:r>
              <w:rPr>
                <w:rFonts w:ascii="Times New Roman" w:hAnsi="Times New Roman"/>
                <w:sz w:val="20"/>
              </w:rPr>
              <w:t>ebenfalls LFK-Paket</w:t>
            </w:r>
          </w:p>
        </w:tc>
        <w:tc>
          <w:tcPr>
            <w:tcW w:type="dxa" w:w="2268"/>
          </w:tcPr>
          <w:p>
            <w:r>
              <w:rPr>
                <w:rFonts w:ascii="Times New Roman" w:hAnsi="Times New Roman"/>
                <w:sz w:val="20"/>
              </w:rPr>
              <w:t>aktiv</w:t>
            </w:r>
          </w:p>
        </w:tc>
        <w:tc>
          <w:tcPr>
            <w:tcW w:type="dxa" w:w="2268"/>
          </w:tcPr>
          <w:p>
            <w:r>
              <w:rPr>
                <w:rFonts w:ascii="Times New Roman" w:hAnsi="Times New Roman"/>
                <w:sz w:val="20"/>
              </w:rPr>
              <w:t>ggf. Schaden Keller anzeigen</w:t>
            </w:r>
          </w:p>
        </w:tc>
      </w:tr>
      <w:tr>
        <w:tc>
          <w:tcPr>
            <w:tcW w:type="dxa" w:w="2268"/>
          </w:tcPr>
          <w:p>
            <w:r>
              <w:rPr>
                <w:rFonts w:ascii="Times New Roman" w:hAnsi="Times New Roman"/>
                <w:sz w:val="20"/>
              </w:rPr>
              <w:t>Glasversicherung</w:t>
            </w:r>
          </w:p>
        </w:tc>
        <w:tc>
          <w:tcPr>
            <w:tcW w:type="dxa" w:w="2268"/>
          </w:tcPr>
          <w:p>
            <w:r>
              <w:rPr>
                <w:rFonts w:ascii="Times New Roman" w:hAnsi="Times New Roman"/>
                <w:sz w:val="20"/>
              </w:rPr>
              <w:t>nicht versichert</w:t>
            </w:r>
          </w:p>
        </w:tc>
        <w:tc>
          <w:tcPr>
            <w:tcW w:type="dxa" w:w="2268"/>
          </w:tcPr>
          <w:p>
            <w:r>
              <w:rPr>
                <w:rFonts w:ascii="Times New Roman" w:hAnsi="Times New Roman"/>
                <w:sz w:val="20"/>
              </w:rPr>
              <w:t>Lücke</w:t>
            </w:r>
          </w:p>
        </w:tc>
        <w:tc>
          <w:tcPr>
            <w:tcW w:type="dxa" w:w="2268"/>
          </w:tcPr>
          <w:p>
            <w:r>
              <w:rPr>
                <w:rFonts w:ascii="Times New Roman" w:hAnsi="Times New Roman"/>
                <w:sz w:val="20"/>
              </w:rPr>
              <w:t>prüfen ob sinnvoll (Schaufenster GE01/GE02)</w:t>
            </w:r>
          </w:p>
        </w:tc>
      </w:tr>
      <w:tr>
        <w:tc>
          <w:tcPr>
            <w:tcW w:type="dxa" w:w="2268"/>
          </w:tcPr>
          <w:p>
            <w:r>
              <w:rPr>
                <w:rFonts w:ascii="Times New Roman" w:hAnsi="Times New Roman"/>
                <w:sz w:val="20"/>
              </w:rPr>
              <w:t>Mietausfallversicherung</w:t>
            </w:r>
          </w:p>
        </w:tc>
        <w:tc>
          <w:tcPr>
            <w:tcW w:type="dxa" w:w="2268"/>
          </w:tcPr>
          <w:p>
            <w:r>
              <w:rPr>
                <w:rFonts w:ascii="Times New Roman" w:hAnsi="Times New Roman"/>
                <w:sz w:val="20"/>
              </w:rPr>
              <w:t>keine</w:t>
            </w:r>
          </w:p>
        </w:tc>
        <w:tc>
          <w:tcPr>
            <w:tcW w:type="dxa" w:w="2268"/>
          </w:tcPr>
          <w:p>
            <w:r>
              <w:rPr>
                <w:rFonts w:ascii="Times New Roman" w:hAnsi="Times New Roman"/>
                <w:sz w:val="20"/>
              </w:rPr>
              <w:t>Lücke</w:t>
            </w:r>
          </w:p>
        </w:tc>
        <w:tc>
          <w:tcPr>
            <w:tcW w:type="dxa" w:w="2268"/>
          </w:tcPr>
          <w:p>
            <w:r>
              <w:rPr>
                <w:rFonts w:ascii="Times New Roman" w:hAnsi="Times New Roman"/>
                <w:sz w:val="20"/>
              </w:rPr>
              <w:t>für Leerstand WE03 und Ausfall GE01 relevant; kein Neuabschluss im laufenden Verfahren</w:t>
            </w:r>
          </w:p>
        </w:tc>
      </w:tr>
    </w:tbl>
    <w:p/>
    <w:p>
      <w:pPr>
        <w:pStyle w:val="Heading2"/>
      </w:pPr>
      <w:r>
        <w:rPr>
          <w:rFonts w:ascii="Times New Roman" w:hAnsi="Times New Roman"/>
        </w:rPr>
        <w:t>3. Öffentliche Lasten und Abgaben</w:t>
      </w:r>
    </w:p>
    <w:p>
      <w:pPr>
        <w:pStyle w:val="Heading3"/>
      </w:pPr>
      <w:r>
        <w:rPr>
          <w:rFonts w:ascii="Times New Roman" w:hAnsi="Times New Roman"/>
        </w:rPr>
        <w:t>3.1 Grundsteuer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Gemeinde</w:t>
            </w:r>
          </w:p>
        </w:tc>
        <w:tc>
          <w:tcPr>
            <w:tcW w:type="dxa" w:w="4536"/>
          </w:tcPr>
          <w:p>
            <w:r>
              <w:rPr>
                <w:rFonts w:ascii="Times New Roman" w:hAnsi="Times New Roman"/>
                <w:sz w:val="20"/>
              </w:rPr>
              <w:t>Stadt Leipzig</w:t>
            </w:r>
          </w:p>
        </w:tc>
      </w:tr>
      <w:tr>
        <w:tc>
          <w:tcPr>
            <w:tcW w:type="dxa" w:w="4536"/>
          </w:tcPr>
          <w:p>
            <w:r>
              <w:rPr>
                <w:rFonts w:ascii="Times New Roman" w:hAnsi="Times New Roman"/>
                <w:sz w:val="20"/>
              </w:rPr>
              <w:t>Steuernummer Grundsteuer</w:t>
            </w:r>
          </w:p>
        </w:tc>
        <w:tc>
          <w:tcPr>
            <w:tcW w:type="dxa" w:w="4536"/>
          </w:tcPr>
          <w:p>
            <w:r>
              <w:rPr>
                <w:rFonts w:ascii="Times New Roman" w:hAnsi="Times New Roman"/>
                <w:sz w:val="20"/>
              </w:rPr>
              <w:t>L-GrSt-4421-88</w:t>
            </w:r>
          </w:p>
        </w:tc>
      </w:tr>
      <w:tr>
        <w:tc>
          <w:tcPr>
            <w:tcW w:type="dxa" w:w="4536"/>
          </w:tcPr>
          <w:p>
            <w:r>
              <w:rPr>
                <w:rFonts w:ascii="Times New Roman" w:hAnsi="Times New Roman"/>
                <w:sz w:val="20"/>
              </w:rPr>
              <w:t>Jahresbetrag (2026)</w:t>
            </w:r>
          </w:p>
        </w:tc>
        <w:tc>
          <w:tcPr>
            <w:tcW w:type="dxa" w:w="4536"/>
          </w:tcPr>
          <w:p>
            <w:r>
              <w:rPr>
                <w:rFonts w:ascii="Times New Roman" w:hAnsi="Times New Roman"/>
                <w:sz w:val="20"/>
              </w:rPr>
              <w:t>7.760,00 EUR</w:t>
            </w:r>
          </w:p>
        </w:tc>
      </w:tr>
      <w:tr>
        <w:tc>
          <w:tcPr>
            <w:tcW w:type="dxa" w:w="4536"/>
          </w:tcPr>
          <w:p>
            <w:r>
              <w:rPr>
                <w:rFonts w:ascii="Times New Roman" w:hAnsi="Times New Roman"/>
                <w:sz w:val="20"/>
              </w:rPr>
              <w:t>Fälligkeit</w:t>
            </w:r>
          </w:p>
        </w:tc>
        <w:tc>
          <w:tcPr>
            <w:tcW w:type="dxa" w:w="4536"/>
          </w:tcPr>
          <w:p>
            <w:r>
              <w:rPr>
                <w:rFonts w:ascii="Times New Roman" w:hAnsi="Times New Roman"/>
                <w:sz w:val="20"/>
              </w:rPr>
              <w:t>vierteljährlich (15.02., 15.05., 15.08., 15.11.)</w:t>
            </w:r>
          </w:p>
        </w:tc>
      </w:tr>
      <w:tr>
        <w:tc>
          <w:tcPr>
            <w:tcW w:type="dxa" w:w="4536"/>
          </w:tcPr>
          <w:p>
            <w:r>
              <w:rPr>
                <w:rFonts w:ascii="Times New Roman" w:hAnsi="Times New Roman"/>
                <w:sz w:val="20"/>
              </w:rPr>
              <w:t>Rückstand</w:t>
            </w:r>
          </w:p>
        </w:tc>
        <w:tc>
          <w:tcPr>
            <w:tcW w:type="dxa" w:w="4536"/>
          </w:tcPr>
          <w:p>
            <w:r>
              <w:rPr>
                <w:rFonts w:ascii="Times New Roman" w:hAnsi="Times New Roman"/>
                <w:sz w:val="20"/>
              </w:rPr>
              <w:t>1.940,00 EUR (1. Quartal 2026 nicht bezahlt)</w:t>
            </w:r>
          </w:p>
        </w:tc>
      </w:tr>
      <w:tr>
        <w:tc>
          <w:tcPr>
            <w:tcW w:type="dxa" w:w="4536"/>
          </w:tcPr>
          <w:p>
            <w:r>
              <w:rPr>
                <w:rFonts w:ascii="Times New Roman" w:hAnsi="Times New Roman"/>
                <w:sz w:val="20"/>
              </w:rPr>
              <w:t>2. Quartal fällig</w:t>
            </w:r>
          </w:p>
        </w:tc>
        <w:tc>
          <w:tcPr>
            <w:tcW w:type="dxa" w:w="4536"/>
          </w:tcPr>
          <w:p>
            <w:r>
              <w:rPr>
                <w:rFonts w:ascii="Times New Roman" w:hAnsi="Times New Roman"/>
                <w:sz w:val="20"/>
              </w:rPr>
              <w:t>1.940,00 EUR, fällig 15.05.2026</w:t>
            </w:r>
          </w:p>
        </w:tc>
      </w:tr>
    </w:tbl>
    <w:p>
      <w:pPr>
        <w:jc w:val="left"/>
      </w:pPr>
      <w:r>
        <w:rPr>
          <w:b/>
        </w:rPr>
        <w:t>Maßnahme:</w:t>
      </w:r>
      <w:r>
        <w:t xml:space="preserve"> Der Rückstand für Q1/2026 von 1.940,00 EUR wurde am 10.05.2026 aus dem Treuhandkonto ausgeglichen. Q2-Zahlung wird am 14.05.2026 vorbereitet (Terminzahlung via SEPA).</w:t>
      </w:r>
    </w:p>
    <w:p>
      <w:pPr>
        <w:ind w:left="567"/>
      </w:pPr>
      <w:r>
        <w:rPr>
          <w:b/>
          <w:i/>
        </w:rPr>
        <w:t>Hinweis:</w:t>
      </w:r>
      <w:r>
        <w:rPr>
          <w:i/>
        </w:rPr>
        <w:t xml:space="preserve"> Grundsteuern sind vorrangige öffentliche Lasten (§ 10 Abs. 1 Nr. 3 ZVG) und gehen bei der Verteilung den Gläubigerforderungen vor.</w:t>
      </w:r>
    </w:p>
    <w:p>
      <w:pPr>
        <w:pStyle w:val="Heading3"/>
      </w:pPr>
      <w:r>
        <w:rPr>
          <w:rFonts w:ascii="Times New Roman" w:hAnsi="Times New Roman"/>
        </w:rPr>
        <w:t>3.2 Abfallentsorgung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Betreiber</w:t>
            </w:r>
          </w:p>
        </w:tc>
        <w:tc>
          <w:tcPr>
            <w:tcW w:type="dxa" w:w="4536"/>
          </w:tcPr>
          <w:p>
            <w:r>
              <w:rPr>
                <w:rFonts w:ascii="Times New Roman" w:hAnsi="Times New Roman"/>
                <w:sz w:val="20"/>
              </w:rPr>
              <w:t>Stadtreinigung Leipzig GmbH</w:t>
            </w:r>
          </w:p>
        </w:tc>
      </w:tr>
      <w:tr>
        <w:tc>
          <w:tcPr>
            <w:tcW w:type="dxa" w:w="4536"/>
          </w:tcPr>
          <w:p>
            <w:r>
              <w:rPr>
                <w:rFonts w:ascii="Times New Roman" w:hAnsi="Times New Roman"/>
                <w:sz w:val="20"/>
              </w:rPr>
              <w:t>Kundennummer</w:t>
            </w:r>
          </w:p>
        </w:tc>
        <w:tc>
          <w:tcPr>
            <w:tcW w:type="dxa" w:w="4536"/>
          </w:tcPr>
          <w:p>
            <w:r>
              <w:rPr>
                <w:rFonts w:ascii="Times New Roman" w:hAnsi="Times New Roman"/>
                <w:sz w:val="20"/>
              </w:rPr>
              <w:t>SRL-00884-21</w:t>
            </w:r>
          </w:p>
        </w:tc>
      </w:tr>
      <w:tr>
        <w:tc>
          <w:tcPr>
            <w:tcW w:type="dxa" w:w="4536"/>
          </w:tcPr>
          <w:p>
            <w:r>
              <w:rPr>
                <w:rFonts w:ascii="Times New Roman" w:hAnsi="Times New Roman"/>
                <w:sz w:val="20"/>
              </w:rPr>
              <w:t>Jahresbetrag</w:t>
            </w:r>
          </w:p>
        </w:tc>
        <w:tc>
          <w:tcPr>
            <w:tcW w:type="dxa" w:w="4536"/>
          </w:tcPr>
          <w:p>
            <w:r>
              <w:rPr>
                <w:rFonts w:ascii="Times New Roman" w:hAnsi="Times New Roman"/>
                <w:sz w:val="20"/>
              </w:rPr>
              <w:t>1.240,00 EUR (4 Behälter à 240 l, 2× wöchentlich)</w:t>
            </w:r>
          </w:p>
        </w:tc>
      </w:tr>
      <w:tr>
        <w:tc>
          <w:tcPr>
            <w:tcW w:type="dxa" w:w="4536"/>
          </w:tcPr>
          <w:p>
            <w:r>
              <w:rPr>
                <w:rFonts w:ascii="Times New Roman" w:hAnsi="Times New Roman"/>
                <w:sz w:val="20"/>
              </w:rPr>
              <w:t>Rückstand</w:t>
            </w:r>
          </w:p>
        </w:tc>
        <w:tc>
          <w:tcPr>
            <w:tcW w:type="dxa" w:w="4536"/>
          </w:tcPr>
          <w:p>
            <w:r>
              <w:rPr>
                <w:rFonts w:ascii="Times New Roman" w:hAnsi="Times New Roman"/>
                <w:sz w:val="20"/>
              </w:rPr>
              <w:t>620,00 EUR (Jahreshälfte 2025 offen)</w:t>
            </w:r>
          </w:p>
        </w:tc>
      </w:tr>
    </w:tbl>
    <w:p>
      <w:pPr>
        <w:jc w:val="left"/>
      </w:pPr>
      <w:r>
        <w:rPr>
          <w:b/>
        </w:rPr>
        <w:t>Maßnahme:</w:t>
      </w:r>
      <w:r>
        <w:t xml:space="preserve"> Rückstand wird mit Schreiben 13.05.2026 an Stadtreinigung Leipzig kommuniziert; Zahlung aus Treuhandkonto avisiert.</w:t>
      </w:r>
    </w:p>
    <w:p>
      <w:pPr>
        <w:pStyle w:val="Heading3"/>
      </w:pPr>
      <w:r>
        <w:rPr>
          <w:rFonts w:ascii="Times New Roman" w:hAnsi="Times New Roman"/>
        </w:rPr>
        <w:t>3.3 Niederschlagswassergebühr</w:t>
      </w:r>
    </w:p>
    <w:p>
      <w:pPr>
        <w:jc w:val="left"/>
      </w:pPr>
      <w:r>
        <w:t>Jahresbetrag laut zuletzt vorhandener Rechnung: 310,00 EUR, fällig 01.04. Kein Rückstand erkennbar; Abgleich mit Schuldner-Unterlagen ausstehend.</w:t>
      </w:r>
    </w:p>
    <w:p>
      <w:pPr>
        <w:pStyle w:val="Heading3"/>
      </w:pPr>
      <w:r>
        <w:rPr>
          <w:rFonts w:ascii="Times New Roman" w:hAnsi="Times New Roman"/>
        </w:rPr>
        <w:t>3.4 Schornsteinfeger</w:t>
      </w:r>
    </w:p>
    <w:p>
      <w:pPr>
        <w:jc w:val="left"/>
      </w:pPr>
      <w:r>
        <w:t>Kehrbezirk Leipzig-Mitte; Kehrgeld und Abgasuntersuchung für 2026 fällig, Betrag ca. 280,00 EUR (Schätzung). Kontakt aufgenommen; Termin wird koordiniert.</w:t>
      </w:r>
    </w:p>
    <w:p/>
    <w:p>
      <w:pPr>
        <w:pStyle w:val="Heading2"/>
      </w:pPr>
      <w:r>
        <w:rPr>
          <w:rFonts w:ascii="Times New Roman" w:hAnsi="Times New Roman"/>
        </w:rPr>
        <w:t>4. Zusammenfassung Rückstände und laufende Lasten</w:t>
      </w:r>
    </w:p>
    <w:p>
      <w:pPr>
        <w:pStyle w:val="Heading3"/>
      </w:pPr>
      <w:r>
        <w:rPr>
          <w:rFonts w:ascii="Times New Roman" w:hAnsi="Times New Roman"/>
        </w:rPr>
        <w:t>4.1 Offene Rückstände bei Besitzübernahme (03.05.2026)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Betrag (EUR)</w:t>
            </w:r>
          </w:p>
        </w:tc>
        <w:tc>
          <w:tcPr>
            <w:tcW w:type="dxa" w:w="3024"/>
          </w:tcPr>
          <w:p>
            <w:r>
              <w:rPr>
                <w:rFonts w:ascii="Times New Roman" w:hAnsi="Times New Roman"/>
                <w:b/>
                <w:sz w:val="20"/>
              </w:rPr>
              <w:t>Status</w:t>
            </w:r>
          </w:p>
        </w:tc>
      </w:tr>
      <w:tr>
        <w:tc>
          <w:tcPr>
            <w:tcW w:type="dxa" w:w="3024"/>
          </w:tcPr>
          <w:p>
            <w:r>
              <w:rPr>
                <w:rFonts w:ascii="Times New Roman" w:hAnsi="Times New Roman"/>
                <w:sz w:val="20"/>
              </w:rPr>
              <w:t>Gebäudeversicherung LFK (Halbjahr Jan–Jun 26)</w:t>
            </w:r>
          </w:p>
        </w:tc>
        <w:tc>
          <w:tcPr>
            <w:tcW w:type="dxa" w:w="3024"/>
          </w:tcPr>
          <w:p>
            <w:r>
              <w:rPr>
                <w:rFonts w:ascii="Times New Roman" w:hAnsi="Times New Roman"/>
                <w:sz w:val="20"/>
              </w:rPr>
              <w:t>2.480,00</w:t>
            </w:r>
          </w:p>
        </w:tc>
        <w:tc>
          <w:tcPr>
            <w:tcW w:type="dxa" w:w="3024"/>
          </w:tcPr>
          <w:p>
            <w:r>
              <w:rPr>
                <w:rFonts w:ascii="Times New Roman" w:hAnsi="Times New Roman"/>
                <w:sz w:val="20"/>
              </w:rPr>
              <w:t>beglichen 12.05.2026</w:t>
            </w:r>
          </w:p>
        </w:tc>
      </w:tr>
      <w:tr>
        <w:tc>
          <w:tcPr>
            <w:tcW w:type="dxa" w:w="3024"/>
          </w:tcPr>
          <w:p>
            <w:r>
              <w:rPr>
                <w:rFonts w:ascii="Times New Roman" w:hAnsi="Times New Roman"/>
                <w:sz w:val="20"/>
              </w:rPr>
              <w:t>Grundsteuer Q1/2026</w:t>
            </w:r>
          </w:p>
        </w:tc>
        <w:tc>
          <w:tcPr>
            <w:tcW w:type="dxa" w:w="3024"/>
          </w:tcPr>
          <w:p>
            <w:r>
              <w:rPr>
                <w:rFonts w:ascii="Times New Roman" w:hAnsi="Times New Roman"/>
                <w:sz w:val="20"/>
              </w:rPr>
              <w:t>1.940,00</w:t>
            </w:r>
          </w:p>
        </w:tc>
        <w:tc>
          <w:tcPr>
            <w:tcW w:type="dxa" w:w="3024"/>
          </w:tcPr>
          <w:p>
            <w:r>
              <w:rPr>
                <w:rFonts w:ascii="Times New Roman" w:hAnsi="Times New Roman"/>
                <w:sz w:val="20"/>
              </w:rPr>
              <w:t>beglichen 10.05.2026</w:t>
            </w:r>
          </w:p>
        </w:tc>
      </w:tr>
      <w:tr>
        <w:tc>
          <w:tcPr>
            <w:tcW w:type="dxa" w:w="3024"/>
          </w:tcPr>
          <w:p>
            <w:r>
              <w:rPr>
                <w:rFonts w:ascii="Times New Roman" w:hAnsi="Times New Roman"/>
                <w:sz w:val="20"/>
              </w:rPr>
              <w:t>Abfallentsorgung Rückstand</w:t>
            </w:r>
          </w:p>
        </w:tc>
        <w:tc>
          <w:tcPr>
            <w:tcW w:type="dxa" w:w="3024"/>
          </w:tcPr>
          <w:p>
            <w:r>
              <w:rPr>
                <w:rFonts w:ascii="Times New Roman" w:hAnsi="Times New Roman"/>
                <w:sz w:val="20"/>
              </w:rPr>
              <w:t>620,00</w:t>
            </w:r>
          </w:p>
        </w:tc>
        <w:tc>
          <w:tcPr>
            <w:tcW w:type="dxa" w:w="3024"/>
          </w:tcPr>
          <w:p>
            <w:r>
              <w:rPr>
                <w:rFonts w:ascii="Times New Roman" w:hAnsi="Times New Roman"/>
                <w:sz w:val="20"/>
              </w:rPr>
              <w:t>Zahlung avisiert</w:t>
            </w:r>
          </w:p>
        </w:tc>
      </w:tr>
      <w:tr>
        <w:tc>
          <w:tcPr>
            <w:tcW w:type="dxa" w:w="3024"/>
          </w:tcPr>
          <w:p>
            <w:r>
              <w:rPr>
                <w:rFonts w:ascii="Times New Roman" w:hAnsi="Times New Roman"/>
                <w:b/>
                <w:sz w:val="20"/>
              </w:rPr>
              <w:t>Summe Rückstände</w:t>
            </w:r>
          </w:p>
        </w:tc>
        <w:tc>
          <w:tcPr>
            <w:tcW w:type="dxa" w:w="3024"/>
          </w:tcPr>
          <w:p>
            <w:r>
              <w:rPr>
                <w:rFonts w:ascii="Times New Roman" w:hAnsi="Times New Roman"/>
                <w:b/>
                <w:sz w:val="20"/>
              </w:rPr>
              <w:t>5.040,00</w:t>
            </w:r>
          </w:p>
        </w:tc>
        <w:tc>
          <w:tcPr>
            <w:tcW w:type="dxa" w:w="3024"/>
          </w:tcPr>
          <w:p/>
        </w:tc>
      </w:tr>
    </w:tbl>
    <w:p>
      <w:pPr>
        <w:pStyle w:val="Heading3"/>
      </w:pPr>
      <w:r>
        <w:rPr>
          <w:rFonts w:ascii="Times New Roman" w:hAnsi="Times New Roman"/>
        </w:rPr>
        <w:t>4.2 Laufende monatliche Lasten (Prognose)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Monatsbetrag (EUR)</w:t>
            </w:r>
          </w:p>
        </w:tc>
      </w:tr>
      <w:tr>
        <w:tc>
          <w:tcPr>
            <w:tcW w:type="dxa" w:w="4536"/>
          </w:tcPr>
          <w:p>
            <w:r>
              <w:rPr>
                <w:rFonts w:ascii="Times New Roman" w:hAnsi="Times New Roman"/>
                <w:sz w:val="20"/>
              </w:rPr>
              <w:t>Gebäudeversicherung (anteilig)</w:t>
            </w:r>
          </w:p>
        </w:tc>
        <w:tc>
          <w:tcPr>
            <w:tcW w:type="dxa" w:w="4536"/>
          </w:tcPr>
          <w:p>
            <w:r>
              <w:rPr>
                <w:rFonts w:ascii="Times New Roman" w:hAnsi="Times New Roman"/>
                <w:sz w:val="20"/>
              </w:rPr>
              <w:t>413,33</w:t>
            </w:r>
          </w:p>
        </w:tc>
      </w:tr>
      <w:tr>
        <w:tc>
          <w:tcPr>
            <w:tcW w:type="dxa" w:w="4536"/>
          </w:tcPr>
          <w:p>
            <w:r>
              <w:rPr>
                <w:rFonts w:ascii="Times New Roman" w:hAnsi="Times New Roman"/>
                <w:sz w:val="20"/>
              </w:rPr>
              <w:t>Grundsteuer (anteilig)</w:t>
            </w:r>
          </w:p>
        </w:tc>
        <w:tc>
          <w:tcPr>
            <w:tcW w:type="dxa" w:w="4536"/>
          </w:tcPr>
          <w:p>
            <w:r>
              <w:rPr>
                <w:rFonts w:ascii="Times New Roman" w:hAnsi="Times New Roman"/>
                <w:sz w:val="20"/>
              </w:rPr>
              <w:t>646,67</w:t>
            </w:r>
          </w:p>
        </w:tc>
      </w:tr>
      <w:tr>
        <w:tc>
          <w:tcPr>
            <w:tcW w:type="dxa" w:w="4536"/>
          </w:tcPr>
          <w:p>
            <w:r>
              <w:rPr>
                <w:rFonts w:ascii="Times New Roman" w:hAnsi="Times New Roman"/>
                <w:sz w:val="20"/>
              </w:rPr>
              <w:t>Abfallentsorgung (anteilig)</w:t>
            </w:r>
          </w:p>
        </w:tc>
        <w:tc>
          <w:tcPr>
            <w:tcW w:type="dxa" w:w="4536"/>
          </w:tcPr>
          <w:p>
            <w:r>
              <w:rPr>
                <w:rFonts w:ascii="Times New Roman" w:hAnsi="Times New Roman"/>
                <w:sz w:val="20"/>
              </w:rPr>
              <w:t>103,33</w:t>
            </w:r>
          </w:p>
        </w:tc>
      </w:tr>
      <w:tr>
        <w:tc>
          <w:tcPr>
            <w:tcW w:type="dxa" w:w="4536"/>
          </w:tcPr>
          <w:p>
            <w:r>
              <w:rPr>
                <w:rFonts w:ascii="Times New Roman" w:hAnsi="Times New Roman"/>
                <w:sz w:val="20"/>
              </w:rPr>
              <w:t>Schornsteinfeger (anteilig)</w:t>
            </w:r>
          </w:p>
        </w:tc>
        <w:tc>
          <w:tcPr>
            <w:tcW w:type="dxa" w:w="4536"/>
          </w:tcPr>
          <w:p>
            <w:r>
              <w:rPr>
                <w:rFonts w:ascii="Times New Roman" w:hAnsi="Times New Roman"/>
                <w:sz w:val="20"/>
              </w:rPr>
              <w:t>23,33</w:t>
            </w:r>
          </w:p>
        </w:tc>
      </w:tr>
      <w:tr>
        <w:tc>
          <w:tcPr>
            <w:tcW w:type="dxa" w:w="4536"/>
          </w:tcPr>
          <w:p>
            <w:r>
              <w:rPr>
                <w:rFonts w:ascii="Times New Roman" w:hAnsi="Times New Roman"/>
                <w:b/>
                <w:sz w:val="20"/>
              </w:rPr>
              <w:t>Summe Lasten monatlich</w:t>
            </w:r>
          </w:p>
        </w:tc>
        <w:tc>
          <w:tcPr>
            <w:tcW w:type="dxa" w:w="4536"/>
          </w:tcPr>
          <w:p>
            <w:r>
              <w:rPr>
                <w:rFonts w:ascii="Times New Roman" w:hAnsi="Times New Roman"/>
                <w:b/>
                <w:sz w:val="20"/>
              </w:rPr>
              <w:t>1.186,67</w:t>
            </w:r>
          </w:p>
        </w:tc>
      </w:tr>
    </w:tbl>
    <w:p/>
    <w:p>
      <w:pPr>
        <w:pStyle w:val="Heading2"/>
      </w:pPr>
      <w:r>
        <w:rPr>
          <w:rFonts w:ascii="Times New Roman" w:hAnsi="Times New Roman"/>
        </w:rPr>
        <w:t>5. Genehmigungsvorbehalt</w:t>
      </w:r>
    </w:p>
    <w:p>
      <w:pPr>
        <w:jc w:val="left"/>
      </w:pPr>
      <w:r>
        <w:t>Prämienzahlungen für die Gebäudeversicherung bis zur laufenden Jahresprämie bedürfen keiner gerichtlichen Genehmigung (§ 156 ZVG, § 6 ZwVwV – "notwendige Erhaltungsmaßnahmen"). Die rückständige Halbjahresprämie wurde dem Gericht im Monatsbericht Mai 2026 mitgeteilt.</w:t>
      </w:r>
    </w:p>
    <w:p/>
    <w:p>
      <w:pPr>
        <w:jc w:val="left"/>
      </w:pPr>
      <w:r>
        <w:rPr>
          <w:b/>
        </w:rPr>
        <w:t>Anlagen:</w:t>
      </w:r>
    </w:p>
    <w:p>
      <w:pPr>
        <w:pStyle w:val="ListBullet"/>
      </w:pPr>
      <w:r>
        <w:t>Anlage A: Policen-Kopie LFK-2019-884-4421 (soweit rekonstruierbar)</w:t>
      </w:r>
    </w:p>
    <w:p>
      <w:pPr>
        <w:pStyle w:val="ListBullet"/>
      </w:pPr>
      <w:r>
        <w:t>Anlage B: Mahnschreiben Leipziger Feuerkasse vom 28.04.2026</w:t>
      </w:r>
    </w:p>
    <w:p>
      <w:pPr>
        <w:pStyle w:val="ListBullet"/>
      </w:pPr>
      <w:r>
        <w:t>Anlage C: Überweisungsbelege Versicherungsprämie und Grundsteuer Q1</w:t>
      </w:r>
    </w:p>
    <w:p>
      <w:pPr>
        <w:pStyle w:val="ListBullet"/>
      </w:pPr>
      <w:r>
        <w:t>Anlage D: Grundsteuerbescheid 2026 Stadt Leipzig</w:t>
      </w:r>
    </w:p>
    <w:p>
      <w:pPr>
        <w:pStyle w:val="ListBullet"/>
      </w:pPr>
      <w:r>
        <w:t>Anlage E: Abfallgebührenbescheid Stadtreinigung Leipzig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