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Betriebskosten und Hausgeld – Aufstellung</w:t>
      </w:r>
    </w:p>
    <w:p>
      <w:pPr>
        <w:ind w:left="567"/>
      </w:pPr>
      <w:r>
        <w:rPr>
          <w:b/>
          <w:i/>
        </w:rPr>
        <w:t>Aktenzeichen:</w:t>
      </w:r>
      <w:r>
        <w:rPr>
          <w:i/>
        </w:rPr>
        <w:t xml:space="preserve"> 76 L 88/26</w:t>
      </w:r>
    </w:p>
    <w:p>
      <w:pPr>
        <w:ind w:left="567"/>
      </w:pPr>
      <w:r>
        <w:rPr>
          <w:b/>
          <w:i/>
        </w:rPr>
        <w:t>Bearbeiterin:</w:t>
      </w:r>
      <w:r>
        <w:rPr>
          <w:i/>
        </w:rPr>
        <w:t xml:space="preserve"> Julia Renner, Zwangsverwalterin</w:t>
      </w:r>
    </w:p>
    <w:p>
      <w:pPr>
        <w:ind w:left="567"/>
      </w:pPr>
      <w:r>
        <w:rPr>
          <w:b/>
          <w:i/>
        </w:rPr>
        <w:t>Abrechnungsperiode:</w:t>
      </w:r>
      <w:r>
        <w:rPr>
          <w:i/>
        </w:rPr>
        <w:t xml:space="preserve"> 01.05.2026 ff. (ab Besitzübernahme)</w:t>
      </w:r>
    </w:p>
    <w:p>
      <w:pPr>
        <w:ind w:left="567"/>
      </w:pPr>
      <w:r>
        <w:rPr>
          <w:b/>
          <w:i/>
        </w:rPr>
        <w:t>Stand:</w:t>
      </w:r>
      <w:r>
        <w:rPr>
          <w:i/>
        </w:rPr>
        <w:t xml:space="preserve"> 30. Juni 2026</w:t>
      </w:r>
    </w:p>
    <w:p/>
    <w:p>
      <w:pPr>
        <w:pStyle w:val="Heading2"/>
      </w:pPr>
      <w:r>
        <w:rPr>
          <w:rFonts w:ascii="Times New Roman" w:hAnsi="Times New Roman"/>
        </w:rPr>
        <w:t>1. Einleitung</w:t>
      </w:r>
    </w:p>
    <w:p>
      <w:pPr>
        <w:jc w:val="left"/>
      </w:pPr>
      <w:r>
        <w:t>Die Betriebskosten werden nach Besitzübernahme durch die Zwangsverwalterin neu erfasst. Betriebskostenabrechnungen des Vorjahres (2025) liegen dem Schuldner, wurden aber nicht an die Verwalterin übergeben; die Mieter wurden darüber in Kenntnis gesetzt, dass die BK-Abrechnung 2025 sobald möglich nachgeholt wird. Vorauszahlungen der Mieter werden auf dem Treuhandkonto vereinnahmt und gegen tatsächliche Kosten abgerechnet.</w:t>
      </w:r>
    </w:p>
    <w:p/>
    <w:p>
      <w:pPr>
        <w:pStyle w:val="Heading2"/>
      </w:pPr>
      <w:r>
        <w:rPr>
          <w:rFonts w:ascii="Times New Roman" w:hAnsi="Times New Roman"/>
        </w:rPr>
        <w:t>2. Umlagefähige Betriebskosten (§ 2 BetrKV)</w:t>
      </w:r>
    </w:p>
    <w:p>
      <w:pPr>
        <w:pStyle w:val="Heading3"/>
      </w:pPr>
      <w:r>
        <w:rPr>
          <w:rFonts w:ascii="Times New Roman" w:hAnsi="Times New Roman"/>
        </w:rPr>
        <w:t>2.1 Monatliche Festkosten / Vorauszahlungen (Durchschnitt Mai–Jun 2026)</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Nr.</w:t>
            </w:r>
          </w:p>
        </w:tc>
        <w:tc>
          <w:tcPr>
            <w:tcW w:type="dxa" w:w="1814"/>
          </w:tcPr>
          <w:p>
            <w:r>
              <w:rPr>
                <w:rFonts w:ascii="Times New Roman" w:hAnsi="Times New Roman"/>
                <w:b/>
                <w:sz w:val="20"/>
              </w:rPr>
              <w:t>Kostenart (BetrKV §2 Nr.)</w:t>
            </w:r>
          </w:p>
        </w:tc>
        <w:tc>
          <w:tcPr>
            <w:tcW w:type="dxa" w:w="1814"/>
          </w:tcPr>
          <w:p>
            <w:r>
              <w:rPr>
                <w:rFonts w:ascii="Times New Roman" w:hAnsi="Times New Roman"/>
                <w:b/>
                <w:sz w:val="20"/>
              </w:rPr>
              <w:t>Jahresbetrag (EUR)</w:t>
            </w:r>
          </w:p>
        </w:tc>
        <w:tc>
          <w:tcPr>
            <w:tcW w:type="dxa" w:w="1814"/>
          </w:tcPr>
          <w:p>
            <w:r>
              <w:rPr>
                <w:rFonts w:ascii="Times New Roman" w:hAnsi="Times New Roman"/>
                <w:b/>
                <w:sz w:val="20"/>
              </w:rPr>
              <w:t>Monatsanteil (EUR)</w:t>
            </w:r>
          </w:p>
        </w:tc>
        <w:tc>
          <w:tcPr>
            <w:tcW w:type="dxa" w:w="1814"/>
          </w:tcPr>
          <w:p>
            <w:r>
              <w:rPr>
                <w:rFonts w:ascii="Times New Roman" w:hAnsi="Times New Roman"/>
                <w:b/>
                <w:sz w:val="20"/>
              </w:rPr>
              <w:t>Umlageverteilung</w:t>
            </w:r>
          </w:p>
        </w:tc>
      </w:tr>
      <w:tr>
        <w:tc>
          <w:tcPr>
            <w:tcW w:type="dxa" w:w="1814"/>
          </w:tcPr>
          <w:p>
            <w:r>
              <w:rPr>
                <w:rFonts w:ascii="Times New Roman" w:hAnsi="Times New Roman"/>
                <w:sz w:val="20"/>
              </w:rPr>
              <w:t>1</w:t>
            </w:r>
          </w:p>
        </w:tc>
        <w:tc>
          <w:tcPr>
            <w:tcW w:type="dxa" w:w="1814"/>
          </w:tcPr>
          <w:p>
            <w:r>
              <w:rPr>
                <w:rFonts w:ascii="Times New Roman" w:hAnsi="Times New Roman"/>
                <w:sz w:val="20"/>
              </w:rPr>
              <w:t>Grundsteuer (§2 Nr. 1)</w:t>
            </w:r>
          </w:p>
        </w:tc>
        <w:tc>
          <w:tcPr>
            <w:tcW w:type="dxa" w:w="1814"/>
          </w:tcPr>
          <w:p>
            <w:r>
              <w:rPr>
                <w:rFonts w:ascii="Times New Roman" w:hAnsi="Times New Roman"/>
                <w:sz w:val="20"/>
              </w:rPr>
              <w:t>7.760,00</w:t>
            </w:r>
          </w:p>
        </w:tc>
        <w:tc>
          <w:tcPr>
            <w:tcW w:type="dxa" w:w="1814"/>
          </w:tcPr>
          <w:p>
            <w:r>
              <w:rPr>
                <w:rFonts w:ascii="Times New Roman" w:hAnsi="Times New Roman"/>
                <w:sz w:val="20"/>
              </w:rPr>
              <w:t>646,67</w:t>
            </w:r>
          </w:p>
        </w:tc>
        <w:tc>
          <w:tcPr>
            <w:tcW w:type="dxa" w:w="1814"/>
          </w:tcPr>
          <w:p>
            <w:r>
              <w:rPr>
                <w:rFonts w:ascii="Times New Roman" w:hAnsi="Times New Roman"/>
                <w:sz w:val="20"/>
              </w:rPr>
              <w:t>nach Fläche</w:t>
            </w:r>
          </w:p>
        </w:tc>
      </w:tr>
      <w:tr>
        <w:tc>
          <w:tcPr>
            <w:tcW w:type="dxa" w:w="1814"/>
          </w:tcPr>
          <w:p>
            <w:r>
              <w:rPr>
                <w:rFonts w:ascii="Times New Roman" w:hAnsi="Times New Roman"/>
                <w:sz w:val="20"/>
              </w:rPr>
              <w:t>2</w:t>
            </w:r>
          </w:p>
        </w:tc>
        <w:tc>
          <w:tcPr>
            <w:tcW w:type="dxa" w:w="1814"/>
          </w:tcPr>
          <w:p>
            <w:r>
              <w:rPr>
                <w:rFonts w:ascii="Times New Roman" w:hAnsi="Times New Roman"/>
                <w:sz w:val="20"/>
              </w:rPr>
              <w:t>Wasserversorgung / Abwasser (§2 Nr. 2, 3)</w:t>
            </w:r>
          </w:p>
        </w:tc>
        <w:tc>
          <w:tcPr>
            <w:tcW w:type="dxa" w:w="1814"/>
          </w:tcPr>
          <w:p>
            <w:r>
              <w:rPr>
                <w:rFonts w:ascii="Times New Roman" w:hAnsi="Times New Roman"/>
                <w:sz w:val="20"/>
              </w:rPr>
              <w:t>5.880,00</w:t>
            </w:r>
          </w:p>
        </w:tc>
        <w:tc>
          <w:tcPr>
            <w:tcW w:type="dxa" w:w="1814"/>
          </w:tcPr>
          <w:p>
            <w:r>
              <w:rPr>
                <w:rFonts w:ascii="Times New Roman" w:hAnsi="Times New Roman"/>
                <w:sz w:val="20"/>
              </w:rPr>
              <w:t>490,00</w:t>
            </w:r>
          </w:p>
        </w:tc>
        <w:tc>
          <w:tcPr>
            <w:tcW w:type="dxa" w:w="1814"/>
          </w:tcPr>
          <w:p>
            <w:r>
              <w:rPr>
                <w:rFonts w:ascii="Times New Roman" w:hAnsi="Times New Roman"/>
                <w:sz w:val="20"/>
              </w:rPr>
              <w:t>nach Personen</w:t>
            </w:r>
          </w:p>
        </w:tc>
      </w:tr>
      <w:tr>
        <w:tc>
          <w:tcPr>
            <w:tcW w:type="dxa" w:w="1814"/>
          </w:tcPr>
          <w:p>
            <w:r>
              <w:rPr>
                <w:rFonts w:ascii="Times New Roman" w:hAnsi="Times New Roman"/>
                <w:sz w:val="20"/>
              </w:rPr>
              <w:t>3</w:t>
            </w:r>
          </w:p>
        </w:tc>
        <w:tc>
          <w:tcPr>
            <w:tcW w:type="dxa" w:w="1814"/>
          </w:tcPr>
          <w:p>
            <w:r>
              <w:rPr>
                <w:rFonts w:ascii="Times New Roman" w:hAnsi="Times New Roman"/>
                <w:sz w:val="20"/>
              </w:rPr>
              <w:t>Heizung Gas (§2 Nr. 4, 5)</w:t>
            </w:r>
          </w:p>
        </w:tc>
        <w:tc>
          <w:tcPr>
            <w:tcW w:type="dxa" w:w="1814"/>
          </w:tcPr>
          <w:p>
            <w:r>
              <w:rPr>
                <w:rFonts w:ascii="Times New Roman" w:hAnsi="Times New Roman"/>
                <w:sz w:val="20"/>
              </w:rPr>
              <w:t>33.600,00</w:t>
            </w:r>
          </w:p>
        </w:tc>
        <w:tc>
          <w:tcPr>
            <w:tcW w:type="dxa" w:w="1814"/>
          </w:tcPr>
          <w:p>
            <w:r>
              <w:rPr>
                <w:rFonts w:ascii="Times New Roman" w:hAnsi="Times New Roman"/>
                <w:sz w:val="20"/>
              </w:rPr>
              <w:t>2.800,00</w:t>
            </w:r>
          </w:p>
        </w:tc>
        <w:tc>
          <w:tcPr>
            <w:tcW w:type="dxa" w:w="1814"/>
          </w:tcPr>
          <w:p>
            <w:r>
              <w:rPr>
                <w:rFonts w:ascii="Times New Roman" w:hAnsi="Times New Roman"/>
                <w:sz w:val="20"/>
              </w:rPr>
              <w:t>nach Heizfläche (HKV)</w:t>
            </w:r>
          </w:p>
        </w:tc>
      </w:tr>
      <w:tr>
        <w:tc>
          <w:tcPr>
            <w:tcW w:type="dxa" w:w="1814"/>
          </w:tcPr>
          <w:p>
            <w:r>
              <w:rPr>
                <w:rFonts w:ascii="Times New Roman" w:hAnsi="Times New Roman"/>
                <w:sz w:val="20"/>
              </w:rPr>
              <w:t>4</w:t>
            </w:r>
          </w:p>
        </w:tc>
        <w:tc>
          <w:tcPr>
            <w:tcW w:type="dxa" w:w="1814"/>
          </w:tcPr>
          <w:p>
            <w:r>
              <w:rPr>
                <w:rFonts w:ascii="Times New Roman" w:hAnsi="Times New Roman"/>
                <w:sz w:val="20"/>
              </w:rPr>
              <w:t>Aufzug (§2 Nr. 7)</w:t>
            </w:r>
          </w:p>
        </w:tc>
        <w:tc>
          <w:tcPr>
            <w:tcW w:type="dxa" w:w="1814"/>
          </w:tcPr>
          <w:p>
            <w:r>
              <w:rPr>
                <w:rFonts w:ascii="Times New Roman" w:hAnsi="Times New Roman"/>
                <w:sz w:val="20"/>
              </w:rPr>
              <w:t>–</w:t>
            </w:r>
          </w:p>
        </w:tc>
        <w:tc>
          <w:tcPr>
            <w:tcW w:type="dxa" w:w="1814"/>
          </w:tcPr>
          <w:p>
            <w:r>
              <w:rPr>
                <w:rFonts w:ascii="Times New Roman" w:hAnsi="Times New Roman"/>
                <w:sz w:val="20"/>
              </w:rPr>
              <w:t>–</w:t>
            </w:r>
          </w:p>
        </w:tc>
        <w:tc>
          <w:tcPr>
            <w:tcW w:type="dxa" w:w="1814"/>
          </w:tcPr>
          <w:p>
            <w:r>
              <w:rPr>
                <w:rFonts w:ascii="Times New Roman" w:hAnsi="Times New Roman"/>
                <w:sz w:val="20"/>
              </w:rPr>
              <w:t>kein Aufzug</w:t>
            </w:r>
          </w:p>
        </w:tc>
      </w:tr>
      <w:tr>
        <w:tc>
          <w:tcPr>
            <w:tcW w:type="dxa" w:w="1814"/>
          </w:tcPr>
          <w:p>
            <w:r>
              <w:rPr>
                <w:rFonts w:ascii="Times New Roman" w:hAnsi="Times New Roman"/>
                <w:sz w:val="20"/>
              </w:rPr>
              <w:t>5</w:t>
            </w:r>
          </w:p>
        </w:tc>
        <w:tc>
          <w:tcPr>
            <w:tcW w:type="dxa" w:w="1814"/>
          </w:tcPr>
          <w:p>
            <w:r>
              <w:rPr>
                <w:rFonts w:ascii="Times New Roman" w:hAnsi="Times New Roman"/>
                <w:sz w:val="20"/>
              </w:rPr>
              <w:t>Straßenreinigung / Müllabfuhr (§2 Nr. 8)</w:t>
            </w:r>
          </w:p>
        </w:tc>
        <w:tc>
          <w:tcPr>
            <w:tcW w:type="dxa" w:w="1814"/>
          </w:tcPr>
          <w:p>
            <w:r>
              <w:rPr>
                <w:rFonts w:ascii="Times New Roman" w:hAnsi="Times New Roman"/>
                <w:sz w:val="20"/>
              </w:rPr>
              <w:t>1.240,00</w:t>
            </w:r>
          </w:p>
        </w:tc>
        <w:tc>
          <w:tcPr>
            <w:tcW w:type="dxa" w:w="1814"/>
          </w:tcPr>
          <w:p>
            <w:r>
              <w:rPr>
                <w:rFonts w:ascii="Times New Roman" w:hAnsi="Times New Roman"/>
                <w:sz w:val="20"/>
              </w:rPr>
              <w:t>103,33</w:t>
            </w:r>
          </w:p>
        </w:tc>
        <w:tc>
          <w:tcPr>
            <w:tcW w:type="dxa" w:w="1814"/>
          </w:tcPr>
          <w:p>
            <w:r>
              <w:rPr>
                <w:rFonts w:ascii="Times New Roman" w:hAnsi="Times New Roman"/>
                <w:sz w:val="20"/>
              </w:rPr>
              <w:t>nach Fläche</w:t>
            </w:r>
          </w:p>
        </w:tc>
      </w:tr>
      <w:tr>
        <w:tc>
          <w:tcPr>
            <w:tcW w:type="dxa" w:w="1814"/>
          </w:tcPr>
          <w:p>
            <w:r>
              <w:rPr>
                <w:rFonts w:ascii="Times New Roman" w:hAnsi="Times New Roman"/>
                <w:sz w:val="20"/>
              </w:rPr>
              <w:t>6</w:t>
            </w:r>
          </w:p>
        </w:tc>
        <w:tc>
          <w:tcPr>
            <w:tcW w:type="dxa" w:w="1814"/>
          </w:tcPr>
          <w:p>
            <w:r>
              <w:rPr>
                <w:rFonts w:ascii="Times New Roman" w:hAnsi="Times New Roman"/>
                <w:sz w:val="20"/>
              </w:rPr>
              <w:t>Gebäudereinigung / Hausmeister (§2 Nr. 9)</w:t>
            </w:r>
          </w:p>
        </w:tc>
        <w:tc>
          <w:tcPr>
            <w:tcW w:type="dxa" w:w="1814"/>
          </w:tcPr>
          <w:p>
            <w:r>
              <w:rPr>
                <w:rFonts w:ascii="Times New Roman" w:hAnsi="Times New Roman"/>
                <w:sz w:val="20"/>
              </w:rPr>
              <w:t>7.200,00</w:t>
            </w:r>
          </w:p>
        </w:tc>
        <w:tc>
          <w:tcPr>
            <w:tcW w:type="dxa" w:w="1814"/>
          </w:tcPr>
          <w:p>
            <w:r>
              <w:rPr>
                <w:rFonts w:ascii="Times New Roman" w:hAnsi="Times New Roman"/>
                <w:sz w:val="20"/>
              </w:rPr>
              <w:t>600,00</w:t>
            </w:r>
          </w:p>
        </w:tc>
        <w:tc>
          <w:tcPr>
            <w:tcW w:type="dxa" w:w="1814"/>
          </w:tcPr>
          <w:p>
            <w:r>
              <w:rPr>
                <w:rFonts w:ascii="Times New Roman" w:hAnsi="Times New Roman"/>
                <w:sz w:val="20"/>
              </w:rPr>
              <w:t>nach Fläche</w:t>
            </w:r>
          </w:p>
        </w:tc>
      </w:tr>
      <w:tr>
        <w:tc>
          <w:tcPr>
            <w:tcW w:type="dxa" w:w="1814"/>
          </w:tcPr>
          <w:p>
            <w:r>
              <w:rPr>
                <w:rFonts w:ascii="Times New Roman" w:hAnsi="Times New Roman"/>
                <w:sz w:val="20"/>
              </w:rPr>
              <w:t>7</w:t>
            </w:r>
          </w:p>
        </w:tc>
        <w:tc>
          <w:tcPr>
            <w:tcW w:type="dxa" w:w="1814"/>
          </w:tcPr>
          <w:p>
            <w:r>
              <w:rPr>
                <w:rFonts w:ascii="Times New Roman" w:hAnsi="Times New Roman"/>
                <w:sz w:val="20"/>
              </w:rPr>
              <w:t>Gartenpflege (§2 Nr. 10)</w:t>
            </w:r>
          </w:p>
        </w:tc>
        <w:tc>
          <w:tcPr>
            <w:tcW w:type="dxa" w:w="1814"/>
          </w:tcPr>
          <w:p>
            <w:r>
              <w:rPr>
                <w:rFonts w:ascii="Times New Roman" w:hAnsi="Times New Roman"/>
                <w:sz w:val="20"/>
              </w:rPr>
              <w:t>480,00</w:t>
            </w:r>
          </w:p>
        </w:tc>
        <w:tc>
          <w:tcPr>
            <w:tcW w:type="dxa" w:w="1814"/>
          </w:tcPr>
          <w:p>
            <w:r>
              <w:rPr>
                <w:rFonts w:ascii="Times New Roman" w:hAnsi="Times New Roman"/>
                <w:sz w:val="20"/>
              </w:rPr>
              <w:t>40,00</w:t>
            </w:r>
          </w:p>
        </w:tc>
        <w:tc>
          <w:tcPr>
            <w:tcW w:type="dxa" w:w="1814"/>
          </w:tcPr>
          <w:p>
            <w:r>
              <w:rPr>
                <w:rFonts w:ascii="Times New Roman" w:hAnsi="Times New Roman"/>
                <w:sz w:val="20"/>
              </w:rPr>
              <w:t>nach Fläche</w:t>
            </w:r>
          </w:p>
        </w:tc>
      </w:tr>
      <w:tr>
        <w:tc>
          <w:tcPr>
            <w:tcW w:type="dxa" w:w="1814"/>
          </w:tcPr>
          <w:p>
            <w:r>
              <w:rPr>
                <w:rFonts w:ascii="Times New Roman" w:hAnsi="Times New Roman"/>
                <w:sz w:val="20"/>
              </w:rPr>
              <w:t>8</w:t>
            </w:r>
          </w:p>
        </w:tc>
        <w:tc>
          <w:tcPr>
            <w:tcW w:type="dxa" w:w="1814"/>
          </w:tcPr>
          <w:p>
            <w:r>
              <w:rPr>
                <w:rFonts w:ascii="Times New Roman" w:hAnsi="Times New Roman"/>
                <w:sz w:val="20"/>
              </w:rPr>
              <w:t>Beleuchtung Allgemeinstrom (§2 Nr. 11)</w:t>
            </w:r>
          </w:p>
        </w:tc>
        <w:tc>
          <w:tcPr>
            <w:tcW w:type="dxa" w:w="1814"/>
          </w:tcPr>
          <w:p>
            <w:r>
              <w:rPr>
                <w:rFonts w:ascii="Times New Roman" w:hAnsi="Times New Roman"/>
                <w:sz w:val="20"/>
              </w:rPr>
              <w:t>4.680,00</w:t>
            </w:r>
          </w:p>
        </w:tc>
        <w:tc>
          <w:tcPr>
            <w:tcW w:type="dxa" w:w="1814"/>
          </w:tcPr>
          <w:p>
            <w:r>
              <w:rPr>
                <w:rFonts w:ascii="Times New Roman" w:hAnsi="Times New Roman"/>
                <w:sz w:val="20"/>
              </w:rPr>
              <w:t>390,00</w:t>
            </w:r>
          </w:p>
        </w:tc>
        <w:tc>
          <w:tcPr>
            <w:tcW w:type="dxa" w:w="1814"/>
          </w:tcPr>
          <w:p>
            <w:r>
              <w:rPr>
                <w:rFonts w:ascii="Times New Roman" w:hAnsi="Times New Roman"/>
                <w:sz w:val="20"/>
              </w:rPr>
              <w:t>nach Fläche</w:t>
            </w:r>
          </w:p>
        </w:tc>
      </w:tr>
      <w:tr>
        <w:tc>
          <w:tcPr>
            <w:tcW w:type="dxa" w:w="1814"/>
          </w:tcPr>
          <w:p>
            <w:r>
              <w:rPr>
                <w:rFonts w:ascii="Times New Roman" w:hAnsi="Times New Roman"/>
                <w:sz w:val="20"/>
              </w:rPr>
              <w:t>9</w:t>
            </w:r>
          </w:p>
        </w:tc>
        <w:tc>
          <w:tcPr>
            <w:tcW w:type="dxa" w:w="1814"/>
          </w:tcPr>
          <w:p>
            <w:r>
              <w:rPr>
                <w:rFonts w:ascii="Times New Roman" w:hAnsi="Times New Roman"/>
                <w:sz w:val="20"/>
              </w:rPr>
              <w:t>Schornsteinfeger (§2 Nr. 12)</w:t>
            </w:r>
          </w:p>
        </w:tc>
        <w:tc>
          <w:tcPr>
            <w:tcW w:type="dxa" w:w="1814"/>
          </w:tcPr>
          <w:p>
            <w:r>
              <w:rPr>
                <w:rFonts w:ascii="Times New Roman" w:hAnsi="Times New Roman"/>
                <w:sz w:val="20"/>
              </w:rPr>
              <w:t>280,00</w:t>
            </w:r>
          </w:p>
        </w:tc>
        <w:tc>
          <w:tcPr>
            <w:tcW w:type="dxa" w:w="1814"/>
          </w:tcPr>
          <w:p>
            <w:r>
              <w:rPr>
                <w:rFonts w:ascii="Times New Roman" w:hAnsi="Times New Roman"/>
                <w:sz w:val="20"/>
              </w:rPr>
              <w:t>23,33</w:t>
            </w:r>
          </w:p>
        </w:tc>
        <w:tc>
          <w:tcPr>
            <w:tcW w:type="dxa" w:w="1814"/>
          </w:tcPr>
          <w:p>
            <w:r>
              <w:rPr>
                <w:rFonts w:ascii="Times New Roman" w:hAnsi="Times New Roman"/>
                <w:sz w:val="20"/>
              </w:rPr>
              <w:t>nach Fläche</w:t>
            </w:r>
          </w:p>
        </w:tc>
      </w:tr>
      <w:tr>
        <w:tc>
          <w:tcPr>
            <w:tcW w:type="dxa" w:w="1814"/>
          </w:tcPr>
          <w:p>
            <w:r>
              <w:rPr>
                <w:rFonts w:ascii="Times New Roman" w:hAnsi="Times New Roman"/>
                <w:sz w:val="20"/>
              </w:rPr>
              <w:t>10</w:t>
            </w:r>
          </w:p>
        </w:tc>
        <w:tc>
          <w:tcPr>
            <w:tcW w:type="dxa" w:w="1814"/>
          </w:tcPr>
          <w:p>
            <w:r>
              <w:rPr>
                <w:rFonts w:ascii="Times New Roman" w:hAnsi="Times New Roman"/>
                <w:sz w:val="20"/>
              </w:rPr>
              <w:t>Gebäudeversicherung (§2 Nr. 13)</w:t>
            </w:r>
          </w:p>
        </w:tc>
        <w:tc>
          <w:tcPr>
            <w:tcW w:type="dxa" w:w="1814"/>
          </w:tcPr>
          <w:p>
            <w:r>
              <w:rPr>
                <w:rFonts w:ascii="Times New Roman" w:hAnsi="Times New Roman"/>
                <w:sz w:val="20"/>
              </w:rPr>
              <w:t>4.960,00</w:t>
            </w:r>
          </w:p>
        </w:tc>
        <w:tc>
          <w:tcPr>
            <w:tcW w:type="dxa" w:w="1814"/>
          </w:tcPr>
          <w:p>
            <w:r>
              <w:rPr>
                <w:rFonts w:ascii="Times New Roman" w:hAnsi="Times New Roman"/>
                <w:sz w:val="20"/>
              </w:rPr>
              <w:t>413,33</w:t>
            </w:r>
          </w:p>
        </w:tc>
        <w:tc>
          <w:tcPr>
            <w:tcW w:type="dxa" w:w="1814"/>
          </w:tcPr>
          <w:p>
            <w:r>
              <w:rPr>
                <w:rFonts w:ascii="Times New Roman" w:hAnsi="Times New Roman"/>
                <w:sz w:val="20"/>
              </w:rPr>
              <w:t>nach Fläche</w:t>
            </w:r>
          </w:p>
        </w:tc>
      </w:tr>
      <w:tr>
        <w:tc>
          <w:tcPr>
            <w:tcW w:type="dxa" w:w="1814"/>
          </w:tcPr>
          <w:p>
            <w:r>
              <w:rPr>
                <w:rFonts w:ascii="Times New Roman" w:hAnsi="Times New Roman"/>
                <w:sz w:val="20"/>
              </w:rPr>
              <w:t>11</w:t>
            </w:r>
          </w:p>
        </w:tc>
        <w:tc>
          <w:tcPr>
            <w:tcW w:type="dxa" w:w="1814"/>
          </w:tcPr>
          <w:p>
            <w:r>
              <w:rPr>
                <w:rFonts w:ascii="Times New Roman" w:hAnsi="Times New Roman"/>
                <w:sz w:val="20"/>
              </w:rPr>
              <w:t>Haftpflichtversicherung (§2 Nr. 13)</w:t>
            </w:r>
          </w:p>
        </w:tc>
        <w:tc>
          <w:tcPr>
            <w:tcW w:type="dxa" w:w="1814"/>
          </w:tcPr>
          <w:p>
            <w:r>
              <w:rPr>
                <w:rFonts w:ascii="Times New Roman" w:hAnsi="Times New Roman"/>
                <w:sz w:val="20"/>
              </w:rPr>
              <w:t>in Pos. 10 enthalten</w:t>
            </w:r>
          </w:p>
        </w:tc>
        <w:tc>
          <w:tcPr>
            <w:tcW w:type="dxa" w:w="1814"/>
          </w:tcPr>
          <w:p>
            <w:r>
              <w:rPr>
                <w:rFonts w:ascii="Times New Roman" w:hAnsi="Times New Roman"/>
                <w:sz w:val="20"/>
              </w:rPr>
              <w:t>—</w:t>
            </w:r>
          </w:p>
        </w:tc>
        <w:tc>
          <w:tcPr>
            <w:tcW w:type="dxa" w:w="1814"/>
          </w:tcPr>
          <w:p>
            <w:r>
              <w:rPr>
                <w:rFonts w:ascii="Times New Roman" w:hAnsi="Times New Roman"/>
                <w:sz w:val="20"/>
              </w:rPr>
              <w:t>—</w:t>
            </w:r>
          </w:p>
        </w:tc>
      </w:tr>
      <w:tr>
        <w:tc>
          <w:tcPr>
            <w:tcW w:type="dxa" w:w="1814"/>
          </w:tcPr>
          <w:p>
            <w:r>
              <w:rPr>
                <w:rFonts w:ascii="Times New Roman" w:hAnsi="Times New Roman"/>
                <w:sz w:val="20"/>
              </w:rPr>
              <w:t>12</w:t>
            </w:r>
          </w:p>
        </w:tc>
        <w:tc>
          <w:tcPr>
            <w:tcW w:type="dxa" w:w="1814"/>
          </w:tcPr>
          <w:p>
            <w:r>
              <w:rPr>
                <w:rFonts w:ascii="Times New Roman" w:hAnsi="Times New Roman"/>
                <w:sz w:val="20"/>
              </w:rPr>
              <w:t>Hausmeisterdienstkosten (anteilig in Pos. 6)</w:t>
            </w:r>
          </w:p>
        </w:tc>
        <w:tc>
          <w:tcPr>
            <w:tcW w:type="dxa" w:w="1814"/>
          </w:tcPr>
          <w:p>
            <w:r>
              <w:rPr>
                <w:rFonts w:ascii="Times New Roman" w:hAnsi="Times New Roman"/>
                <w:sz w:val="20"/>
              </w:rPr>
              <w:t>—</w:t>
            </w:r>
          </w:p>
        </w:tc>
        <w:tc>
          <w:tcPr>
            <w:tcW w:type="dxa" w:w="1814"/>
          </w:tcPr>
          <w:p>
            <w:r>
              <w:rPr>
                <w:rFonts w:ascii="Times New Roman" w:hAnsi="Times New Roman"/>
                <w:sz w:val="20"/>
              </w:rPr>
              <w:t>—</w:t>
            </w:r>
          </w:p>
        </w:tc>
        <w:tc>
          <w:tcPr>
            <w:tcW w:type="dxa" w:w="1814"/>
          </w:tcPr>
          <w:p>
            <w:r>
              <w:rPr>
                <w:rFonts w:ascii="Times New Roman" w:hAnsi="Times New Roman"/>
                <w:sz w:val="20"/>
              </w:rPr>
              <w:t>bereits erfasst</w:t>
            </w:r>
          </w:p>
        </w:tc>
      </w:tr>
      <w:tr>
        <w:tc>
          <w:tcPr>
            <w:tcW w:type="dxa" w:w="1814"/>
          </w:tcPr>
          <w:p>
            <w:r>
              <w:rPr>
                <w:rFonts w:ascii="Times New Roman" w:hAnsi="Times New Roman"/>
                <w:sz w:val="20"/>
              </w:rPr>
              <w:t>13</w:t>
            </w:r>
          </w:p>
        </w:tc>
        <w:tc>
          <w:tcPr>
            <w:tcW w:type="dxa" w:w="1814"/>
          </w:tcPr>
          <w:p>
            <w:r>
              <w:rPr>
                <w:rFonts w:ascii="Times New Roman" w:hAnsi="Times New Roman"/>
                <w:sz w:val="20"/>
              </w:rPr>
              <w:t>Sonstiges (Niederschlagswasser)</w:t>
            </w:r>
          </w:p>
        </w:tc>
        <w:tc>
          <w:tcPr>
            <w:tcW w:type="dxa" w:w="1814"/>
          </w:tcPr>
          <w:p>
            <w:r>
              <w:rPr>
                <w:rFonts w:ascii="Times New Roman" w:hAnsi="Times New Roman"/>
                <w:sz w:val="20"/>
              </w:rPr>
              <w:t>310,00</w:t>
            </w:r>
          </w:p>
        </w:tc>
        <w:tc>
          <w:tcPr>
            <w:tcW w:type="dxa" w:w="1814"/>
          </w:tcPr>
          <w:p>
            <w:r>
              <w:rPr>
                <w:rFonts w:ascii="Times New Roman" w:hAnsi="Times New Roman"/>
                <w:sz w:val="20"/>
              </w:rPr>
              <w:t>25,83</w:t>
            </w:r>
          </w:p>
        </w:tc>
        <w:tc>
          <w:tcPr>
            <w:tcW w:type="dxa" w:w="1814"/>
          </w:tcPr>
          <w:p>
            <w:r>
              <w:rPr>
                <w:rFonts w:ascii="Times New Roman" w:hAnsi="Times New Roman"/>
                <w:sz w:val="20"/>
              </w:rPr>
              <w:t>nach Fläche</w:t>
            </w:r>
          </w:p>
        </w:tc>
      </w:tr>
      <w:tr>
        <w:tc>
          <w:tcPr>
            <w:tcW w:type="dxa" w:w="1814"/>
          </w:tcPr>
          <w:p/>
        </w:tc>
        <w:tc>
          <w:tcPr>
            <w:tcW w:type="dxa" w:w="1814"/>
          </w:tcPr>
          <w:p>
            <w:r>
              <w:rPr>
                <w:rFonts w:ascii="Times New Roman" w:hAnsi="Times New Roman"/>
                <w:b/>
                <w:sz w:val="20"/>
              </w:rPr>
              <w:t>Summe umlagefähig p.a.</w:t>
            </w:r>
          </w:p>
        </w:tc>
        <w:tc>
          <w:tcPr>
            <w:tcW w:type="dxa" w:w="1814"/>
          </w:tcPr>
          <w:p>
            <w:r>
              <w:rPr>
                <w:rFonts w:ascii="Times New Roman" w:hAnsi="Times New Roman"/>
                <w:b/>
                <w:sz w:val="20"/>
              </w:rPr>
              <w:t>66.390,00</w:t>
            </w:r>
          </w:p>
        </w:tc>
        <w:tc>
          <w:tcPr>
            <w:tcW w:type="dxa" w:w="1814"/>
          </w:tcPr>
          <w:p>
            <w:r>
              <w:rPr>
                <w:rFonts w:ascii="Times New Roman" w:hAnsi="Times New Roman"/>
                <w:b/>
                <w:sz w:val="20"/>
              </w:rPr>
              <w:t>5.532,50</w:t>
            </w:r>
          </w:p>
        </w:tc>
        <w:tc>
          <w:tcPr>
            <w:tcW w:type="dxa" w:w="1814"/>
          </w:tcPr>
          <w:p/>
        </w:tc>
      </w:tr>
    </w:tbl>
    <w:p>
      <w:pPr>
        <w:ind w:left="567"/>
      </w:pPr>
      <w:r>
        <w:rPr>
          <w:i/>
        </w:rPr>
        <w:t>Hinweis: Heizkosten werden separat nach den Vorgaben der Heizkostenverordnung (HeizkostenV) abgerechnet; mindestens 50 %, maximal 70 % nach Verbrauch, Rest nach Fläche. Heizkostenverteiler (HKV) wurden noch nicht abgelesen; Erstablesung erfolgt mit Besitzübernahme (07.05.2026, vgl. Dok. 03 Zählerstände).</w:t>
      </w:r>
    </w:p>
    <w:p/>
    <w:p>
      <w:pPr>
        <w:pStyle w:val="Heading2"/>
      </w:pPr>
      <w:r>
        <w:rPr>
          <w:rFonts w:ascii="Times New Roman" w:hAnsi="Times New Roman"/>
        </w:rPr>
        <w:t>3. Nicht umlagefähige Kosten (Hausgeld / Verwaltungskosten)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Kostenart</w:t>
            </w:r>
          </w:p>
        </w:tc>
        <w:tc>
          <w:tcPr>
            <w:tcW w:type="dxa" w:w="2268"/>
          </w:tcPr>
          <w:p>
            <w:r>
              <w:rPr>
                <w:rFonts w:ascii="Times New Roman" w:hAnsi="Times New Roman"/>
                <w:b/>
                <w:sz w:val="20"/>
              </w:rPr>
              <w:t>Jahresbetrag (EUR)</w:t>
            </w:r>
          </w:p>
        </w:tc>
        <w:tc>
          <w:tcPr>
            <w:tcW w:type="dxa" w:w="2268"/>
          </w:tcPr>
          <w:p>
            <w:r>
              <w:rPr>
                <w:rFonts w:ascii="Times New Roman" w:hAnsi="Times New Roman"/>
                <w:b/>
                <w:sz w:val="20"/>
              </w:rPr>
              <w:t>Monatsanteil (EUR)</w:t>
            </w:r>
          </w:p>
        </w:tc>
        <w:tc>
          <w:tcPr>
            <w:tcW w:type="dxa" w:w="2268"/>
          </w:tcPr>
          <w:p>
            <w:r>
              <w:rPr>
                <w:rFonts w:ascii="Times New Roman" w:hAnsi="Times New Roman"/>
                <w:b/>
                <w:sz w:val="20"/>
              </w:rPr>
              <w:t>Anmerkung</w:t>
            </w:r>
          </w:p>
        </w:tc>
      </w:tr>
      <w:tr>
        <w:tc>
          <w:tcPr>
            <w:tcW w:type="dxa" w:w="2268"/>
          </w:tcPr>
          <w:p>
            <w:r>
              <w:rPr>
                <w:rFonts w:ascii="Times New Roman" w:hAnsi="Times New Roman"/>
                <w:sz w:val="20"/>
              </w:rPr>
              <w:t>Zwangsverwaltervergütung (§ 17 ZwVwV)</w:t>
            </w:r>
          </w:p>
        </w:tc>
        <w:tc>
          <w:tcPr>
            <w:tcW w:type="dxa" w:w="2268"/>
          </w:tcPr>
          <w:p>
            <w:r>
              <w:rPr>
                <w:rFonts w:ascii="Times New Roman" w:hAnsi="Times New Roman"/>
                <w:sz w:val="20"/>
              </w:rPr>
              <w:t>14.400,00</w:t>
            </w:r>
          </w:p>
        </w:tc>
        <w:tc>
          <w:tcPr>
            <w:tcW w:type="dxa" w:w="2268"/>
          </w:tcPr>
          <w:p>
            <w:r>
              <w:rPr>
                <w:rFonts w:ascii="Times New Roman" w:hAnsi="Times New Roman"/>
                <w:sz w:val="20"/>
              </w:rPr>
              <w:t>1.200,00</w:t>
            </w:r>
          </w:p>
        </w:tc>
        <w:tc>
          <w:tcPr>
            <w:tcW w:type="dxa" w:w="2268"/>
          </w:tcPr>
          <w:p>
            <w:r>
              <w:rPr>
                <w:rFonts w:ascii="Times New Roman" w:hAnsi="Times New Roman"/>
                <w:sz w:val="20"/>
              </w:rPr>
              <w:t>6 % der Sollmiete zzgl. USt, vorläufige Schätzung</w:t>
            </w:r>
          </w:p>
        </w:tc>
      </w:tr>
      <w:tr>
        <w:tc>
          <w:tcPr>
            <w:tcW w:type="dxa" w:w="2268"/>
          </w:tcPr>
          <w:p>
            <w:r>
              <w:rPr>
                <w:rFonts w:ascii="Times New Roman" w:hAnsi="Times New Roman"/>
                <w:sz w:val="20"/>
              </w:rPr>
              <w:t>Buchhaltung / Steuerberatung</w:t>
            </w:r>
          </w:p>
        </w:tc>
        <w:tc>
          <w:tcPr>
            <w:tcW w:type="dxa" w:w="2268"/>
          </w:tcPr>
          <w:p>
            <w:r>
              <w:rPr>
                <w:rFonts w:ascii="Times New Roman" w:hAnsi="Times New Roman"/>
                <w:sz w:val="20"/>
              </w:rPr>
              <w:t>2.400,00</w:t>
            </w:r>
          </w:p>
        </w:tc>
        <w:tc>
          <w:tcPr>
            <w:tcW w:type="dxa" w:w="2268"/>
          </w:tcPr>
          <w:p>
            <w:r>
              <w:rPr>
                <w:rFonts w:ascii="Times New Roman" w:hAnsi="Times New Roman"/>
                <w:sz w:val="20"/>
              </w:rPr>
              <w:t>200,00</w:t>
            </w:r>
          </w:p>
        </w:tc>
        <w:tc>
          <w:tcPr>
            <w:tcW w:type="dxa" w:w="2268"/>
          </w:tcPr>
          <w:p>
            <w:r>
              <w:rPr>
                <w:rFonts w:ascii="Times New Roman" w:hAnsi="Times New Roman"/>
                <w:sz w:val="20"/>
              </w:rPr>
              <w:t>Schätzung</w:t>
            </w:r>
          </w:p>
        </w:tc>
      </w:tr>
      <w:tr>
        <w:tc>
          <w:tcPr>
            <w:tcW w:type="dxa" w:w="2268"/>
          </w:tcPr>
          <w:p>
            <w:r>
              <w:rPr>
                <w:rFonts w:ascii="Times New Roman" w:hAnsi="Times New Roman"/>
                <w:sz w:val="20"/>
              </w:rPr>
              <w:t>Instandhaltungsrücklage</w:t>
            </w:r>
          </w:p>
        </w:tc>
        <w:tc>
          <w:tcPr>
            <w:tcW w:type="dxa" w:w="2268"/>
          </w:tcPr>
          <w:p>
            <w:r>
              <w:rPr>
                <w:rFonts w:ascii="Times New Roman" w:hAnsi="Times New Roman"/>
                <w:sz w:val="20"/>
              </w:rPr>
              <w:t>7.200,00</w:t>
            </w:r>
          </w:p>
        </w:tc>
        <w:tc>
          <w:tcPr>
            <w:tcW w:type="dxa" w:w="2268"/>
          </w:tcPr>
          <w:p>
            <w:r>
              <w:rPr>
                <w:rFonts w:ascii="Times New Roman" w:hAnsi="Times New Roman"/>
                <w:sz w:val="20"/>
              </w:rPr>
              <w:t>600,00</w:t>
            </w:r>
          </w:p>
        </w:tc>
        <w:tc>
          <w:tcPr>
            <w:tcW w:type="dxa" w:w="2268"/>
          </w:tcPr>
          <w:p>
            <w:r>
              <w:rPr>
                <w:rFonts w:ascii="Times New Roman" w:hAnsi="Times New Roman"/>
                <w:sz w:val="20"/>
              </w:rPr>
              <w:t>ca. 10 % der Jahreskaltmiete</w:t>
            </w:r>
          </w:p>
        </w:tc>
      </w:tr>
      <w:tr>
        <w:tc>
          <w:tcPr>
            <w:tcW w:type="dxa" w:w="2268"/>
          </w:tcPr>
          <w:p>
            <w:r>
              <w:rPr>
                <w:rFonts w:ascii="Times New Roman" w:hAnsi="Times New Roman"/>
                <w:sz w:val="20"/>
              </w:rPr>
              <w:t>Leerstandskosten WE03 (anteilig)</w:t>
            </w:r>
          </w:p>
        </w:tc>
        <w:tc>
          <w:tcPr>
            <w:tcW w:type="dxa" w:w="2268"/>
          </w:tcPr>
          <w:p>
            <w:r>
              <w:rPr>
                <w:rFonts w:ascii="Times New Roman" w:hAnsi="Times New Roman"/>
                <w:sz w:val="20"/>
              </w:rPr>
              <w:t>1.440,00</w:t>
            </w:r>
          </w:p>
        </w:tc>
        <w:tc>
          <w:tcPr>
            <w:tcW w:type="dxa" w:w="2268"/>
          </w:tcPr>
          <w:p>
            <w:r>
              <w:rPr>
                <w:rFonts w:ascii="Times New Roman" w:hAnsi="Times New Roman"/>
                <w:sz w:val="20"/>
              </w:rPr>
              <w:t>120,00</w:t>
            </w:r>
          </w:p>
        </w:tc>
        <w:tc>
          <w:tcPr>
            <w:tcW w:type="dxa" w:w="2268"/>
          </w:tcPr>
          <w:p>
            <w:r>
              <w:rPr>
                <w:rFonts w:ascii="Times New Roman" w:hAnsi="Times New Roman"/>
                <w:sz w:val="20"/>
              </w:rPr>
              <w:t>Heizung, Allgemeinstrom WE03</w:t>
            </w:r>
          </w:p>
        </w:tc>
      </w:tr>
      <w:tr>
        <w:tc>
          <w:tcPr>
            <w:tcW w:type="dxa" w:w="2268"/>
          </w:tcPr>
          <w:p>
            <w:r>
              <w:rPr>
                <w:rFonts w:ascii="Times New Roman" w:hAnsi="Times New Roman"/>
                <w:sz w:val="20"/>
              </w:rPr>
              <w:t>Gerichtskosten Verfahren</w:t>
            </w:r>
          </w:p>
        </w:tc>
        <w:tc>
          <w:tcPr>
            <w:tcW w:type="dxa" w:w="2268"/>
          </w:tcPr>
          <w:p>
            <w:r>
              <w:rPr>
                <w:rFonts w:ascii="Times New Roman" w:hAnsi="Times New Roman"/>
                <w:sz w:val="20"/>
              </w:rPr>
              <w:t>nach Verfahrensstand</w:t>
            </w:r>
          </w:p>
        </w:tc>
        <w:tc>
          <w:tcPr>
            <w:tcW w:type="dxa" w:w="2268"/>
          </w:tcPr>
          <w:p>
            <w:r>
              <w:rPr>
                <w:rFonts w:ascii="Times New Roman" w:hAnsi="Times New Roman"/>
                <w:sz w:val="20"/>
              </w:rPr>
              <w:t>—</w:t>
            </w:r>
          </w:p>
        </w:tc>
        <w:tc>
          <w:tcPr>
            <w:tcW w:type="dxa" w:w="2268"/>
          </w:tcPr>
          <w:p>
            <w:r>
              <w:rPr>
                <w:rFonts w:ascii="Times New Roman" w:hAnsi="Times New Roman"/>
                <w:sz w:val="20"/>
              </w:rPr>
              <w:t>nicht aus Mieteinnahmen</w:t>
            </w:r>
          </w:p>
        </w:tc>
      </w:tr>
    </w:tbl>
    <w:p/>
    <w:p>
      <w:pPr>
        <w:pStyle w:val="Heading2"/>
      </w:pPr>
      <w:r>
        <w:rPr>
          <w:rFonts w:ascii="Times New Roman" w:hAnsi="Times New Roman"/>
        </w:rPr>
        <w:t>4. Vorauszahlungen der Mieter laut Mietvertrag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Einheit</w:t>
            </w:r>
          </w:p>
        </w:tc>
        <w:tc>
          <w:tcPr>
            <w:tcW w:type="dxa" w:w="1814"/>
          </w:tcPr>
          <w:p>
            <w:r>
              <w:rPr>
                <w:rFonts w:ascii="Times New Roman" w:hAnsi="Times New Roman"/>
                <w:b/>
                <w:sz w:val="20"/>
              </w:rPr>
              <w:t>Mieter</w:t>
            </w:r>
          </w:p>
        </w:tc>
        <w:tc>
          <w:tcPr>
            <w:tcW w:type="dxa" w:w="1814"/>
          </w:tcPr>
          <w:p>
            <w:r>
              <w:rPr>
                <w:rFonts w:ascii="Times New Roman" w:hAnsi="Times New Roman"/>
                <w:b/>
                <w:sz w:val="20"/>
              </w:rPr>
              <w:t>Kaltmiete (EUR)</w:t>
            </w:r>
          </w:p>
        </w:tc>
        <w:tc>
          <w:tcPr>
            <w:tcW w:type="dxa" w:w="1814"/>
          </w:tcPr>
          <w:p>
            <w:r>
              <w:rPr>
                <w:rFonts w:ascii="Times New Roman" w:hAnsi="Times New Roman"/>
                <w:b/>
                <w:sz w:val="20"/>
              </w:rPr>
              <w:t>NK-VZ (EUR)</w:t>
            </w:r>
          </w:p>
        </w:tc>
        <w:tc>
          <w:tcPr>
            <w:tcW w:type="dxa" w:w="1814"/>
          </w:tcPr>
          <w:p>
            <w:r>
              <w:rPr>
                <w:rFonts w:ascii="Times New Roman" w:hAnsi="Times New Roman"/>
                <w:b/>
                <w:sz w:val="20"/>
              </w:rPr>
              <w:t>Gesamtmiete (EUR)</w:t>
            </w:r>
          </w:p>
        </w:tc>
      </w:tr>
      <w:tr>
        <w:tc>
          <w:tcPr>
            <w:tcW w:type="dxa" w:w="1814"/>
          </w:tcPr>
          <w:p>
            <w:r>
              <w:rPr>
                <w:rFonts w:ascii="Times New Roman" w:hAnsi="Times New Roman"/>
                <w:sz w:val="20"/>
              </w:rPr>
              <w:t>WE01</w:t>
            </w:r>
          </w:p>
        </w:tc>
        <w:tc>
          <w:tcPr>
            <w:tcW w:type="dxa" w:w="1814"/>
          </w:tcPr>
          <w:p>
            <w:r>
              <w:rPr>
                <w:rFonts w:ascii="Times New Roman" w:hAnsi="Times New Roman"/>
                <w:sz w:val="20"/>
              </w:rPr>
              <w:t>Frau Ingrid Berger</w:t>
            </w:r>
          </w:p>
        </w:tc>
        <w:tc>
          <w:tcPr>
            <w:tcW w:type="dxa" w:w="1814"/>
          </w:tcPr>
          <w:p>
            <w:r>
              <w:rPr>
                <w:rFonts w:ascii="Times New Roman" w:hAnsi="Times New Roman"/>
                <w:sz w:val="20"/>
              </w:rPr>
              <w:t>720,00</w:t>
            </w:r>
          </w:p>
        </w:tc>
        <w:tc>
          <w:tcPr>
            <w:tcW w:type="dxa" w:w="1814"/>
          </w:tcPr>
          <w:p>
            <w:r>
              <w:rPr>
                <w:rFonts w:ascii="Times New Roman" w:hAnsi="Times New Roman"/>
                <w:sz w:val="20"/>
              </w:rPr>
              <w:t>210,00</w:t>
            </w:r>
          </w:p>
        </w:tc>
        <w:tc>
          <w:tcPr>
            <w:tcW w:type="dxa" w:w="1814"/>
          </w:tcPr>
          <w:p>
            <w:r>
              <w:rPr>
                <w:rFonts w:ascii="Times New Roman" w:hAnsi="Times New Roman"/>
                <w:sz w:val="20"/>
              </w:rPr>
              <w:t>930,00</w:t>
            </w:r>
          </w:p>
        </w:tc>
      </w:tr>
      <w:tr>
        <w:tc>
          <w:tcPr>
            <w:tcW w:type="dxa" w:w="1814"/>
          </w:tcPr>
          <w:p>
            <w:r>
              <w:rPr>
                <w:rFonts w:ascii="Times New Roman" w:hAnsi="Times New Roman"/>
                <w:sz w:val="20"/>
              </w:rPr>
              <w:t>WE02</w:t>
            </w:r>
          </w:p>
        </w:tc>
        <w:tc>
          <w:tcPr>
            <w:tcW w:type="dxa" w:w="1814"/>
          </w:tcPr>
          <w:p>
            <w:r>
              <w:rPr>
                <w:rFonts w:ascii="Times New Roman" w:hAnsi="Times New Roman"/>
                <w:sz w:val="20"/>
              </w:rPr>
              <w:t>Herr Bogdan Matuschek</w:t>
            </w:r>
          </w:p>
        </w:tc>
        <w:tc>
          <w:tcPr>
            <w:tcW w:type="dxa" w:w="1814"/>
          </w:tcPr>
          <w:p>
            <w:r>
              <w:rPr>
                <w:rFonts w:ascii="Times New Roman" w:hAnsi="Times New Roman"/>
                <w:sz w:val="20"/>
              </w:rPr>
              <w:t>690,00</w:t>
            </w:r>
          </w:p>
        </w:tc>
        <w:tc>
          <w:tcPr>
            <w:tcW w:type="dxa" w:w="1814"/>
          </w:tcPr>
          <w:p>
            <w:r>
              <w:rPr>
                <w:rFonts w:ascii="Times New Roman" w:hAnsi="Times New Roman"/>
                <w:sz w:val="20"/>
              </w:rPr>
              <w:t>205,00</w:t>
            </w:r>
          </w:p>
        </w:tc>
        <w:tc>
          <w:tcPr>
            <w:tcW w:type="dxa" w:w="1814"/>
          </w:tcPr>
          <w:p>
            <w:r>
              <w:rPr>
                <w:rFonts w:ascii="Times New Roman" w:hAnsi="Times New Roman"/>
                <w:sz w:val="20"/>
              </w:rPr>
              <w:t>895,00</w:t>
            </w:r>
          </w:p>
        </w:tc>
      </w:tr>
      <w:tr>
        <w:tc>
          <w:tcPr>
            <w:tcW w:type="dxa" w:w="1814"/>
          </w:tcPr>
          <w:p>
            <w:r>
              <w:rPr>
                <w:rFonts w:ascii="Times New Roman" w:hAnsi="Times New Roman"/>
                <w:sz w:val="20"/>
              </w:rPr>
              <w:t>WE03</w:t>
            </w:r>
          </w:p>
        </w:tc>
        <w:tc>
          <w:tcPr>
            <w:tcW w:type="dxa" w:w="1814"/>
          </w:tcPr>
          <w:p>
            <w:r>
              <w:rPr>
                <w:rFonts w:ascii="Times New Roman" w:hAnsi="Times New Roman"/>
                <w:sz w:val="20"/>
              </w:rPr>
              <w:t>– (Leerstand)</w:t>
            </w:r>
          </w:p>
        </w:tc>
        <w:tc>
          <w:tcPr>
            <w:tcW w:type="dxa" w:w="1814"/>
          </w:tcPr>
          <w:p>
            <w:r>
              <w:rPr>
                <w:rFonts w:ascii="Times New Roman" w:hAnsi="Times New Roman"/>
                <w:sz w:val="20"/>
              </w:rPr>
              <w:t>0,00</w:t>
            </w:r>
          </w:p>
        </w:tc>
        <w:tc>
          <w:tcPr>
            <w:tcW w:type="dxa" w:w="1814"/>
          </w:tcPr>
          <w:p>
            <w:r>
              <w:rPr>
                <w:rFonts w:ascii="Times New Roman" w:hAnsi="Times New Roman"/>
                <w:sz w:val="20"/>
              </w:rPr>
              <w:t>0,00</w:t>
            </w:r>
          </w:p>
        </w:tc>
        <w:tc>
          <w:tcPr>
            <w:tcW w:type="dxa" w:w="1814"/>
          </w:tcPr>
          <w:p>
            <w:r>
              <w:rPr>
                <w:rFonts w:ascii="Times New Roman" w:hAnsi="Times New Roman"/>
                <w:sz w:val="20"/>
              </w:rPr>
              <w:t>0,00</w:t>
            </w:r>
          </w:p>
        </w:tc>
      </w:tr>
      <w:tr>
        <w:tc>
          <w:tcPr>
            <w:tcW w:type="dxa" w:w="1814"/>
          </w:tcPr>
          <w:p>
            <w:r>
              <w:rPr>
                <w:rFonts w:ascii="Times New Roman" w:hAnsi="Times New Roman"/>
                <w:sz w:val="20"/>
              </w:rPr>
              <w:t>WE04</w:t>
            </w:r>
          </w:p>
        </w:tc>
        <w:tc>
          <w:tcPr>
            <w:tcW w:type="dxa" w:w="1814"/>
          </w:tcPr>
          <w:p>
            <w:r>
              <w:rPr>
                <w:rFonts w:ascii="Times New Roman" w:hAnsi="Times New Roman"/>
                <w:sz w:val="20"/>
              </w:rPr>
              <w:t>Frau Claudia Ohrend</w:t>
            </w:r>
          </w:p>
        </w:tc>
        <w:tc>
          <w:tcPr>
            <w:tcW w:type="dxa" w:w="1814"/>
          </w:tcPr>
          <w:p>
            <w:r>
              <w:rPr>
                <w:rFonts w:ascii="Times New Roman" w:hAnsi="Times New Roman"/>
                <w:sz w:val="20"/>
              </w:rPr>
              <w:t>680,00</w:t>
            </w:r>
          </w:p>
        </w:tc>
        <w:tc>
          <w:tcPr>
            <w:tcW w:type="dxa" w:w="1814"/>
          </w:tcPr>
          <w:p>
            <w:r>
              <w:rPr>
                <w:rFonts w:ascii="Times New Roman" w:hAnsi="Times New Roman"/>
                <w:sz w:val="20"/>
              </w:rPr>
              <w:t>200,00</w:t>
            </w:r>
          </w:p>
        </w:tc>
        <w:tc>
          <w:tcPr>
            <w:tcW w:type="dxa" w:w="1814"/>
          </w:tcPr>
          <w:p>
            <w:r>
              <w:rPr>
                <w:rFonts w:ascii="Times New Roman" w:hAnsi="Times New Roman"/>
                <w:sz w:val="20"/>
              </w:rPr>
              <w:t>880,00</w:t>
            </w:r>
          </w:p>
        </w:tc>
      </w:tr>
      <w:tr>
        <w:tc>
          <w:tcPr>
            <w:tcW w:type="dxa" w:w="1814"/>
          </w:tcPr>
          <w:p>
            <w:r>
              <w:rPr>
                <w:rFonts w:ascii="Times New Roman" w:hAnsi="Times New Roman"/>
                <w:sz w:val="20"/>
              </w:rPr>
              <w:t>WE05</w:t>
            </w:r>
          </w:p>
        </w:tc>
        <w:tc>
          <w:tcPr>
            <w:tcW w:type="dxa" w:w="1814"/>
          </w:tcPr>
          <w:p>
            <w:r>
              <w:rPr>
                <w:rFonts w:ascii="Times New Roman" w:hAnsi="Times New Roman"/>
                <w:sz w:val="20"/>
              </w:rPr>
              <w:t>Ehepaar Stöckel</w:t>
            </w:r>
          </w:p>
        </w:tc>
        <w:tc>
          <w:tcPr>
            <w:tcW w:type="dxa" w:w="1814"/>
          </w:tcPr>
          <w:p>
            <w:r>
              <w:rPr>
                <w:rFonts w:ascii="Times New Roman" w:hAnsi="Times New Roman"/>
                <w:sz w:val="20"/>
              </w:rPr>
              <w:t>850,00</w:t>
            </w:r>
          </w:p>
        </w:tc>
        <w:tc>
          <w:tcPr>
            <w:tcW w:type="dxa" w:w="1814"/>
          </w:tcPr>
          <w:p>
            <w:r>
              <w:rPr>
                <w:rFonts w:ascii="Times New Roman" w:hAnsi="Times New Roman"/>
                <w:sz w:val="20"/>
              </w:rPr>
              <w:t>240,00</w:t>
            </w:r>
          </w:p>
        </w:tc>
        <w:tc>
          <w:tcPr>
            <w:tcW w:type="dxa" w:w="1814"/>
          </w:tcPr>
          <w:p>
            <w:r>
              <w:rPr>
                <w:rFonts w:ascii="Times New Roman" w:hAnsi="Times New Roman"/>
                <w:sz w:val="20"/>
              </w:rPr>
              <w:t>1.090,00</w:t>
            </w:r>
          </w:p>
        </w:tc>
      </w:tr>
      <w:tr>
        <w:tc>
          <w:tcPr>
            <w:tcW w:type="dxa" w:w="1814"/>
          </w:tcPr>
          <w:p>
            <w:r>
              <w:rPr>
                <w:rFonts w:ascii="Times New Roman" w:hAnsi="Times New Roman"/>
                <w:sz w:val="20"/>
              </w:rPr>
              <w:t>WE06</w:t>
            </w:r>
          </w:p>
        </w:tc>
        <w:tc>
          <w:tcPr>
            <w:tcW w:type="dxa" w:w="1814"/>
          </w:tcPr>
          <w:p>
            <w:r>
              <w:rPr>
                <w:rFonts w:ascii="Times New Roman" w:hAnsi="Times New Roman"/>
                <w:sz w:val="20"/>
              </w:rPr>
              <w:t>Herr Denis Farber</w:t>
            </w:r>
          </w:p>
        </w:tc>
        <w:tc>
          <w:tcPr>
            <w:tcW w:type="dxa" w:w="1814"/>
          </w:tcPr>
          <w:p>
            <w:r>
              <w:rPr>
                <w:rFonts w:ascii="Times New Roman" w:hAnsi="Times New Roman"/>
                <w:sz w:val="20"/>
              </w:rPr>
              <w:t>640,00</w:t>
            </w:r>
          </w:p>
        </w:tc>
        <w:tc>
          <w:tcPr>
            <w:tcW w:type="dxa" w:w="1814"/>
          </w:tcPr>
          <w:p>
            <w:r>
              <w:rPr>
                <w:rFonts w:ascii="Times New Roman" w:hAnsi="Times New Roman"/>
                <w:sz w:val="20"/>
              </w:rPr>
              <w:t>195,00</w:t>
            </w:r>
          </w:p>
        </w:tc>
        <w:tc>
          <w:tcPr>
            <w:tcW w:type="dxa" w:w="1814"/>
          </w:tcPr>
          <w:p>
            <w:r>
              <w:rPr>
                <w:rFonts w:ascii="Times New Roman" w:hAnsi="Times New Roman"/>
                <w:sz w:val="20"/>
              </w:rPr>
              <w:t>835,00</w:t>
            </w:r>
          </w:p>
        </w:tc>
      </w:tr>
      <w:tr>
        <w:tc>
          <w:tcPr>
            <w:tcW w:type="dxa" w:w="1814"/>
          </w:tcPr>
          <w:p>
            <w:r>
              <w:rPr>
                <w:rFonts w:ascii="Times New Roman" w:hAnsi="Times New Roman"/>
                <w:sz w:val="20"/>
              </w:rPr>
              <w:t>WE07</w:t>
            </w:r>
          </w:p>
        </w:tc>
        <w:tc>
          <w:tcPr>
            <w:tcW w:type="dxa" w:w="1814"/>
          </w:tcPr>
          <w:p>
            <w:r>
              <w:rPr>
                <w:rFonts w:ascii="Times New Roman" w:hAnsi="Times New Roman"/>
                <w:sz w:val="20"/>
              </w:rPr>
              <w:t>Frau Annette Baumgärtner</w:t>
            </w:r>
          </w:p>
        </w:tc>
        <w:tc>
          <w:tcPr>
            <w:tcW w:type="dxa" w:w="1814"/>
          </w:tcPr>
          <w:p>
            <w:r>
              <w:rPr>
                <w:rFonts w:ascii="Times New Roman" w:hAnsi="Times New Roman"/>
                <w:sz w:val="20"/>
              </w:rPr>
              <w:t>730,00</w:t>
            </w:r>
          </w:p>
        </w:tc>
        <w:tc>
          <w:tcPr>
            <w:tcW w:type="dxa" w:w="1814"/>
          </w:tcPr>
          <w:p>
            <w:r>
              <w:rPr>
                <w:rFonts w:ascii="Times New Roman" w:hAnsi="Times New Roman"/>
                <w:sz w:val="20"/>
              </w:rPr>
              <w:t>215,00</w:t>
            </w:r>
          </w:p>
        </w:tc>
        <w:tc>
          <w:tcPr>
            <w:tcW w:type="dxa" w:w="1814"/>
          </w:tcPr>
          <w:p>
            <w:r>
              <w:rPr>
                <w:rFonts w:ascii="Times New Roman" w:hAnsi="Times New Roman"/>
                <w:sz w:val="20"/>
              </w:rPr>
              <w:t>945,00</w:t>
            </w:r>
          </w:p>
        </w:tc>
      </w:tr>
      <w:tr>
        <w:tc>
          <w:tcPr>
            <w:tcW w:type="dxa" w:w="1814"/>
          </w:tcPr>
          <w:p>
            <w:r>
              <w:rPr>
                <w:rFonts w:ascii="Times New Roman" w:hAnsi="Times New Roman"/>
                <w:sz w:val="20"/>
              </w:rPr>
              <w:t>WE08</w:t>
            </w:r>
          </w:p>
        </w:tc>
        <w:tc>
          <w:tcPr>
            <w:tcW w:type="dxa" w:w="1814"/>
          </w:tcPr>
          <w:p>
            <w:r>
              <w:rPr>
                <w:rFonts w:ascii="Times New Roman" w:hAnsi="Times New Roman"/>
                <w:sz w:val="20"/>
              </w:rPr>
              <w:t>Herr Franz Möller</w:t>
            </w:r>
          </w:p>
        </w:tc>
        <w:tc>
          <w:tcPr>
            <w:tcW w:type="dxa" w:w="1814"/>
          </w:tcPr>
          <w:p>
            <w:r>
              <w:rPr>
                <w:rFonts w:ascii="Times New Roman" w:hAnsi="Times New Roman"/>
                <w:sz w:val="20"/>
              </w:rPr>
              <w:t>660,00</w:t>
            </w:r>
          </w:p>
        </w:tc>
        <w:tc>
          <w:tcPr>
            <w:tcW w:type="dxa" w:w="1814"/>
          </w:tcPr>
          <w:p>
            <w:r>
              <w:rPr>
                <w:rFonts w:ascii="Times New Roman" w:hAnsi="Times New Roman"/>
                <w:sz w:val="20"/>
              </w:rPr>
              <w:t>200,00</w:t>
            </w:r>
          </w:p>
        </w:tc>
        <w:tc>
          <w:tcPr>
            <w:tcW w:type="dxa" w:w="1814"/>
          </w:tcPr>
          <w:p>
            <w:r>
              <w:rPr>
                <w:rFonts w:ascii="Times New Roman" w:hAnsi="Times New Roman"/>
                <w:sz w:val="20"/>
              </w:rPr>
              <w:t>860,00</w:t>
            </w:r>
          </w:p>
        </w:tc>
      </w:tr>
      <w:tr>
        <w:tc>
          <w:tcPr>
            <w:tcW w:type="dxa" w:w="1814"/>
          </w:tcPr>
          <w:p>
            <w:r>
              <w:rPr>
                <w:rFonts w:ascii="Times New Roman" w:hAnsi="Times New Roman"/>
                <w:sz w:val="20"/>
              </w:rPr>
              <w:t>WE09</w:t>
            </w:r>
          </w:p>
        </w:tc>
        <w:tc>
          <w:tcPr>
            <w:tcW w:type="dxa" w:w="1814"/>
          </w:tcPr>
          <w:p>
            <w:r>
              <w:rPr>
                <w:rFonts w:ascii="Times New Roman" w:hAnsi="Times New Roman"/>
                <w:sz w:val="20"/>
              </w:rPr>
              <w:t>Herr Simon Kreller</w:t>
            </w:r>
          </w:p>
        </w:tc>
        <w:tc>
          <w:tcPr>
            <w:tcW w:type="dxa" w:w="1814"/>
          </w:tcPr>
          <w:p>
            <w:r>
              <w:rPr>
                <w:rFonts w:ascii="Times New Roman" w:hAnsi="Times New Roman"/>
                <w:sz w:val="20"/>
              </w:rPr>
              <w:t>520,00</w:t>
            </w:r>
          </w:p>
        </w:tc>
        <w:tc>
          <w:tcPr>
            <w:tcW w:type="dxa" w:w="1814"/>
          </w:tcPr>
          <w:p>
            <w:r>
              <w:rPr>
                <w:rFonts w:ascii="Times New Roman" w:hAnsi="Times New Roman"/>
                <w:sz w:val="20"/>
              </w:rPr>
              <w:t>160,00</w:t>
            </w:r>
          </w:p>
        </w:tc>
        <w:tc>
          <w:tcPr>
            <w:tcW w:type="dxa" w:w="1814"/>
          </w:tcPr>
          <w:p>
            <w:r>
              <w:rPr>
                <w:rFonts w:ascii="Times New Roman" w:hAnsi="Times New Roman"/>
                <w:sz w:val="20"/>
              </w:rPr>
              <w:t>680,00</w:t>
            </w:r>
          </w:p>
        </w:tc>
      </w:tr>
      <w:tr>
        <w:tc>
          <w:tcPr>
            <w:tcW w:type="dxa" w:w="1814"/>
          </w:tcPr>
          <w:p>
            <w:r>
              <w:rPr>
                <w:rFonts w:ascii="Times New Roman" w:hAnsi="Times New Roman"/>
                <w:sz w:val="20"/>
              </w:rPr>
              <w:t>WE10</w:t>
            </w:r>
          </w:p>
        </w:tc>
        <w:tc>
          <w:tcPr>
            <w:tcW w:type="dxa" w:w="1814"/>
          </w:tcPr>
          <w:p>
            <w:r>
              <w:rPr>
                <w:rFonts w:ascii="Times New Roman" w:hAnsi="Times New Roman"/>
                <w:sz w:val="20"/>
              </w:rPr>
              <w:t>Frau Petra Voss</w:t>
            </w:r>
          </w:p>
        </w:tc>
        <w:tc>
          <w:tcPr>
            <w:tcW w:type="dxa" w:w="1814"/>
          </w:tcPr>
          <w:p>
            <w:r>
              <w:rPr>
                <w:rFonts w:ascii="Times New Roman" w:hAnsi="Times New Roman"/>
                <w:sz w:val="20"/>
              </w:rPr>
              <w:t>600,00</w:t>
            </w:r>
          </w:p>
        </w:tc>
        <w:tc>
          <w:tcPr>
            <w:tcW w:type="dxa" w:w="1814"/>
          </w:tcPr>
          <w:p>
            <w:r>
              <w:rPr>
                <w:rFonts w:ascii="Times New Roman" w:hAnsi="Times New Roman"/>
                <w:sz w:val="20"/>
              </w:rPr>
              <w:t>185,00</w:t>
            </w:r>
          </w:p>
        </w:tc>
        <w:tc>
          <w:tcPr>
            <w:tcW w:type="dxa" w:w="1814"/>
          </w:tcPr>
          <w:p>
            <w:r>
              <w:rPr>
                <w:rFonts w:ascii="Times New Roman" w:hAnsi="Times New Roman"/>
                <w:sz w:val="20"/>
              </w:rPr>
              <w:t>785,00</w:t>
            </w:r>
          </w:p>
        </w:tc>
      </w:tr>
      <w:tr>
        <w:tc>
          <w:tcPr>
            <w:tcW w:type="dxa" w:w="1814"/>
          </w:tcPr>
          <w:p>
            <w:r>
              <w:rPr>
                <w:rFonts w:ascii="Times New Roman" w:hAnsi="Times New Roman"/>
                <w:sz w:val="20"/>
              </w:rPr>
              <w:t>GE01</w:t>
            </w:r>
          </w:p>
        </w:tc>
        <w:tc>
          <w:tcPr>
            <w:tcW w:type="dxa" w:w="1814"/>
          </w:tcPr>
          <w:p>
            <w:r>
              <w:rPr>
                <w:rFonts w:ascii="Times New Roman" w:hAnsi="Times New Roman"/>
                <w:sz w:val="20"/>
              </w:rPr>
              <w:t>Bäckerei Kranz GmbH</w:t>
            </w:r>
          </w:p>
        </w:tc>
        <w:tc>
          <w:tcPr>
            <w:tcW w:type="dxa" w:w="1814"/>
          </w:tcPr>
          <w:p>
            <w:r>
              <w:rPr>
                <w:rFonts w:ascii="Times New Roman" w:hAnsi="Times New Roman"/>
                <w:sz w:val="20"/>
              </w:rPr>
              <w:t>1.850,00</w:t>
            </w:r>
          </w:p>
        </w:tc>
        <w:tc>
          <w:tcPr>
            <w:tcW w:type="dxa" w:w="1814"/>
          </w:tcPr>
          <w:p>
            <w:r>
              <w:rPr>
                <w:rFonts w:ascii="Times New Roman" w:hAnsi="Times New Roman"/>
                <w:sz w:val="20"/>
              </w:rPr>
              <w:t>480,00</w:t>
            </w:r>
          </w:p>
        </w:tc>
        <w:tc>
          <w:tcPr>
            <w:tcW w:type="dxa" w:w="1814"/>
          </w:tcPr>
          <w:p>
            <w:r>
              <w:rPr>
                <w:rFonts w:ascii="Times New Roman" w:hAnsi="Times New Roman"/>
                <w:sz w:val="20"/>
              </w:rPr>
              <w:t>2.330,00</w:t>
            </w:r>
          </w:p>
        </w:tc>
      </w:tr>
      <w:tr>
        <w:tc>
          <w:tcPr>
            <w:tcW w:type="dxa" w:w="1814"/>
          </w:tcPr>
          <w:p>
            <w:r>
              <w:rPr>
                <w:rFonts w:ascii="Times New Roman" w:hAnsi="Times New Roman"/>
                <w:sz w:val="20"/>
              </w:rPr>
              <w:t>GE02</w:t>
            </w:r>
          </w:p>
        </w:tc>
        <w:tc>
          <w:tcPr>
            <w:tcW w:type="dxa" w:w="1814"/>
          </w:tcPr>
          <w:p>
            <w:r>
              <w:rPr>
                <w:rFonts w:ascii="Times New Roman" w:hAnsi="Times New Roman"/>
                <w:sz w:val="20"/>
              </w:rPr>
              <w:t>Kosmetikstudio Luma</w:t>
            </w:r>
          </w:p>
        </w:tc>
        <w:tc>
          <w:tcPr>
            <w:tcW w:type="dxa" w:w="1814"/>
          </w:tcPr>
          <w:p>
            <w:r>
              <w:rPr>
                <w:rFonts w:ascii="Times New Roman" w:hAnsi="Times New Roman"/>
                <w:sz w:val="20"/>
              </w:rPr>
              <w:t>980,00</w:t>
            </w:r>
          </w:p>
        </w:tc>
        <w:tc>
          <w:tcPr>
            <w:tcW w:type="dxa" w:w="1814"/>
          </w:tcPr>
          <w:p>
            <w:r>
              <w:rPr>
                <w:rFonts w:ascii="Times New Roman" w:hAnsi="Times New Roman"/>
                <w:sz w:val="20"/>
              </w:rPr>
              <w:t>260,00</w:t>
            </w:r>
          </w:p>
        </w:tc>
        <w:tc>
          <w:tcPr>
            <w:tcW w:type="dxa" w:w="1814"/>
          </w:tcPr>
          <w:p>
            <w:r>
              <w:rPr>
                <w:rFonts w:ascii="Times New Roman" w:hAnsi="Times New Roman"/>
                <w:sz w:val="20"/>
              </w:rPr>
              <w:t>1.240,00</w:t>
            </w:r>
          </w:p>
        </w:tc>
      </w:tr>
      <w:tr>
        <w:tc>
          <w:tcPr>
            <w:tcW w:type="dxa" w:w="1814"/>
          </w:tcPr>
          <w:p>
            <w:r>
              <w:rPr>
                <w:rFonts w:ascii="Times New Roman" w:hAnsi="Times New Roman"/>
                <w:b/>
                <w:sz w:val="20"/>
              </w:rPr>
              <w:t>Summe (Soll)</w:t>
            </w:r>
          </w:p>
        </w:tc>
        <w:tc>
          <w:tcPr>
            <w:tcW w:type="dxa" w:w="1814"/>
          </w:tcPr>
          <w:p/>
        </w:tc>
        <w:tc>
          <w:tcPr>
            <w:tcW w:type="dxa" w:w="1814"/>
          </w:tcPr>
          <w:p>
            <w:r>
              <w:rPr>
                <w:rFonts w:ascii="Times New Roman" w:hAnsi="Times New Roman"/>
                <w:b/>
                <w:sz w:val="20"/>
              </w:rPr>
              <w:t>8.920,00</w:t>
            </w:r>
          </w:p>
        </w:tc>
        <w:tc>
          <w:tcPr>
            <w:tcW w:type="dxa" w:w="1814"/>
          </w:tcPr>
          <w:p>
            <w:r>
              <w:rPr>
                <w:rFonts w:ascii="Times New Roman" w:hAnsi="Times New Roman"/>
                <w:b/>
                <w:sz w:val="20"/>
              </w:rPr>
              <w:t>2.550,00</w:t>
            </w:r>
          </w:p>
        </w:tc>
        <w:tc>
          <w:tcPr>
            <w:tcW w:type="dxa" w:w="1814"/>
          </w:tcPr>
          <w:p>
            <w:r>
              <w:rPr>
                <w:rFonts w:ascii="Times New Roman" w:hAnsi="Times New Roman"/>
                <w:b/>
                <w:sz w:val="20"/>
              </w:rPr>
              <w:t>11.470,00</w:t>
            </w:r>
          </w:p>
        </w:tc>
      </w:tr>
    </w:tbl>
    <w:p/>
    <w:p>
      <w:pPr>
        <w:pStyle w:val="Heading2"/>
      </w:pPr>
      <w:r>
        <w:rPr>
          <w:rFonts w:ascii="Times New Roman" w:hAnsi="Times New Roman"/>
        </w:rPr>
        <w:t>5. Betriebskosten-Abrechnung 2026 (Vorschau / Hochrechnung)</w:t>
      </w:r>
    </w:p>
    <w:p>
      <w:pPr>
        <w:jc w:val="left"/>
      </w:pPr>
      <w:r>
        <w:t xml:space="preserve">Da die Verwaltung erst ab 07.05.2026 greift, wird die Abrechnung 2026 anteilig für den Zeitraum </w:t>
      </w:r>
      <w:r>
        <w:rPr>
          <w:b/>
        </w:rPr>
        <w:t>07.05.2026 – 31.12.2026</w:t>
      </w:r>
      <w:r>
        <w:t xml:space="preserve"> (239 Tage, ca. 65,5 % des Jahres) erstellt. Die Jahresabrechnung 2026 (vollständig) wird bis 31.03.2027 vorgelegt.</w:t>
      </w:r>
    </w:p>
    <w:p>
      <w:pPr>
        <w:pStyle w:val="Heading3"/>
      </w:pPr>
      <w:r>
        <w:rPr>
          <w:rFonts w:ascii="Times New Roman" w:hAnsi="Times New Roman"/>
        </w:rPr>
        <w:t>5.1 Prognose Betriebskosten 07.05.–31.12.2026</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Kostenart</w:t>
            </w:r>
          </w:p>
        </w:tc>
        <w:tc>
          <w:tcPr>
            <w:tcW w:type="dxa" w:w="2268"/>
          </w:tcPr>
          <w:p>
            <w:r>
              <w:rPr>
                <w:rFonts w:ascii="Times New Roman" w:hAnsi="Times New Roman"/>
                <w:b/>
                <w:sz w:val="20"/>
              </w:rPr>
              <w:t>Jahresbetrag</w:t>
            </w:r>
          </w:p>
        </w:tc>
        <w:tc>
          <w:tcPr>
            <w:tcW w:type="dxa" w:w="2268"/>
          </w:tcPr>
          <w:p>
            <w:r>
              <w:rPr>
                <w:rFonts w:ascii="Times New Roman" w:hAnsi="Times New Roman"/>
                <w:b/>
                <w:sz w:val="20"/>
              </w:rPr>
              <w:t>Anteil 239/365</w:t>
            </w:r>
          </w:p>
        </w:tc>
        <w:tc>
          <w:tcPr>
            <w:tcW w:type="dxa" w:w="2268"/>
          </w:tcPr>
          <w:p>
            <w:r>
              <w:rPr>
                <w:rFonts w:ascii="Times New Roman" w:hAnsi="Times New Roman"/>
                <w:b/>
                <w:sz w:val="20"/>
              </w:rPr>
              <w:t>Prognose (EUR)</w:t>
            </w:r>
          </w:p>
        </w:tc>
      </w:tr>
      <w:tr>
        <w:tc>
          <w:tcPr>
            <w:tcW w:type="dxa" w:w="2268"/>
          </w:tcPr>
          <w:p>
            <w:r>
              <w:rPr>
                <w:rFonts w:ascii="Times New Roman" w:hAnsi="Times New Roman"/>
                <w:sz w:val="20"/>
              </w:rPr>
              <w:t>Grundsteuer</w:t>
            </w:r>
          </w:p>
        </w:tc>
        <w:tc>
          <w:tcPr>
            <w:tcW w:type="dxa" w:w="2268"/>
          </w:tcPr>
          <w:p>
            <w:r>
              <w:rPr>
                <w:rFonts w:ascii="Times New Roman" w:hAnsi="Times New Roman"/>
                <w:sz w:val="20"/>
              </w:rPr>
              <w:t>7.760,00</w:t>
            </w:r>
          </w:p>
        </w:tc>
        <w:tc>
          <w:tcPr>
            <w:tcW w:type="dxa" w:w="2268"/>
          </w:tcPr>
          <w:p>
            <w:r>
              <w:rPr>
                <w:rFonts w:ascii="Times New Roman" w:hAnsi="Times New Roman"/>
                <w:sz w:val="20"/>
              </w:rPr>
              <w:t>65,5 %</w:t>
            </w:r>
          </w:p>
        </w:tc>
        <w:tc>
          <w:tcPr>
            <w:tcW w:type="dxa" w:w="2268"/>
          </w:tcPr>
          <w:p>
            <w:r>
              <w:rPr>
                <w:rFonts w:ascii="Times New Roman" w:hAnsi="Times New Roman"/>
                <w:sz w:val="20"/>
              </w:rPr>
              <w:t>5.082,80</w:t>
            </w:r>
          </w:p>
        </w:tc>
      </w:tr>
      <w:tr>
        <w:tc>
          <w:tcPr>
            <w:tcW w:type="dxa" w:w="2268"/>
          </w:tcPr>
          <w:p>
            <w:r>
              <w:rPr>
                <w:rFonts w:ascii="Times New Roman" w:hAnsi="Times New Roman"/>
                <w:sz w:val="20"/>
              </w:rPr>
              <w:t>Wasser / Abwasser</w:t>
            </w:r>
          </w:p>
        </w:tc>
        <w:tc>
          <w:tcPr>
            <w:tcW w:type="dxa" w:w="2268"/>
          </w:tcPr>
          <w:p>
            <w:r>
              <w:rPr>
                <w:rFonts w:ascii="Times New Roman" w:hAnsi="Times New Roman"/>
                <w:sz w:val="20"/>
              </w:rPr>
              <w:t>5.880,00</w:t>
            </w:r>
          </w:p>
        </w:tc>
        <w:tc>
          <w:tcPr>
            <w:tcW w:type="dxa" w:w="2268"/>
          </w:tcPr>
          <w:p>
            <w:r>
              <w:rPr>
                <w:rFonts w:ascii="Times New Roman" w:hAnsi="Times New Roman"/>
                <w:sz w:val="20"/>
              </w:rPr>
              <w:t>65,5 %</w:t>
            </w:r>
          </w:p>
        </w:tc>
        <w:tc>
          <w:tcPr>
            <w:tcW w:type="dxa" w:w="2268"/>
          </w:tcPr>
          <w:p>
            <w:r>
              <w:rPr>
                <w:rFonts w:ascii="Times New Roman" w:hAnsi="Times New Roman"/>
                <w:sz w:val="20"/>
              </w:rPr>
              <w:t>3.851,40</w:t>
            </w:r>
          </w:p>
        </w:tc>
      </w:tr>
      <w:tr>
        <w:tc>
          <w:tcPr>
            <w:tcW w:type="dxa" w:w="2268"/>
          </w:tcPr>
          <w:p>
            <w:r>
              <w:rPr>
                <w:rFonts w:ascii="Times New Roman" w:hAnsi="Times New Roman"/>
                <w:sz w:val="20"/>
              </w:rPr>
              <w:t>Heizung Gas</w:t>
            </w:r>
          </w:p>
        </w:tc>
        <w:tc>
          <w:tcPr>
            <w:tcW w:type="dxa" w:w="2268"/>
          </w:tcPr>
          <w:p>
            <w:r>
              <w:rPr>
                <w:rFonts w:ascii="Times New Roman" w:hAnsi="Times New Roman"/>
                <w:sz w:val="20"/>
              </w:rPr>
              <w:t>33.600,00</w:t>
            </w:r>
          </w:p>
        </w:tc>
        <w:tc>
          <w:tcPr>
            <w:tcW w:type="dxa" w:w="2268"/>
          </w:tcPr>
          <w:p>
            <w:r>
              <w:rPr>
                <w:rFonts w:ascii="Times New Roman" w:hAnsi="Times New Roman"/>
                <w:sz w:val="20"/>
              </w:rPr>
              <w:t>65,5 %</w:t>
            </w:r>
          </w:p>
        </w:tc>
        <w:tc>
          <w:tcPr>
            <w:tcW w:type="dxa" w:w="2268"/>
          </w:tcPr>
          <w:p>
            <w:r>
              <w:rPr>
                <w:rFonts w:ascii="Times New Roman" w:hAnsi="Times New Roman"/>
                <w:sz w:val="20"/>
              </w:rPr>
              <w:t>22.008,00</w:t>
            </w:r>
          </w:p>
        </w:tc>
      </w:tr>
      <w:tr>
        <w:tc>
          <w:tcPr>
            <w:tcW w:type="dxa" w:w="2268"/>
          </w:tcPr>
          <w:p>
            <w:r>
              <w:rPr>
                <w:rFonts w:ascii="Times New Roman" w:hAnsi="Times New Roman"/>
                <w:sz w:val="20"/>
              </w:rPr>
              <w:t>Müllabfuhr</w:t>
            </w:r>
          </w:p>
        </w:tc>
        <w:tc>
          <w:tcPr>
            <w:tcW w:type="dxa" w:w="2268"/>
          </w:tcPr>
          <w:p>
            <w:r>
              <w:rPr>
                <w:rFonts w:ascii="Times New Roman" w:hAnsi="Times New Roman"/>
                <w:sz w:val="20"/>
              </w:rPr>
              <w:t>1.240,00</w:t>
            </w:r>
          </w:p>
        </w:tc>
        <w:tc>
          <w:tcPr>
            <w:tcW w:type="dxa" w:w="2268"/>
          </w:tcPr>
          <w:p>
            <w:r>
              <w:rPr>
                <w:rFonts w:ascii="Times New Roman" w:hAnsi="Times New Roman"/>
                <w:sz w:val="20"/>
              </w:rPr>
              <w:t>65,5 %</w:t>
            </w:r>
          </w:p>
        </w:tc>
        <w:tc>
          <w:tcPr>
            <w:tcW w:type="dxa" w:w="2268"/>
          </w:tcPr>
          <w:p>
            <w:r>
              <w:rPr>
                <w:rFonts w:ascii="Times New Roman" w:hAnsi="Times New Roman"/>
                <w:sz w:val="20"/>
              </w:rPr>
              <w:t>812,20</w:t>
            </w:r>
          </w:p>
        </w:tc>
      </w:tr>
      <w:tr>
        <w:tc>
          <w:tcPr>
            <w:tcW w:type="dxa" w:w="2268"/>
          </w:tcPr>
          <w:p>
            <w:r>
              <w:rPr>
                <w:rFonts w:ascii="Times New Roman" w:hAnsi="Times New Roman"/>
                <w:sz w:val="20"/>
              </w:rPr>
              <w:t>Reinigung / Hausmeister</w:t>
            </w:r>
          </w:p>
        </w:tc>
        <w:tc>
          <w:tcPr>
            <w:tcW w:type="dxa" w:w="2268"/>
          </w:tcPr>
          <w:p>
            <w:r>
              <w:rPr>
                <w:rFonts w:ascii="Times New Roman" w:hAnsi="Times New Roman"/>
                <w:sz w:val="20"/>
              </w:rPr>
              <w:t>7.200,00</w:t>
            </w:r>
          </w:p>
        </w:tc>
        <w:tc>
          <w:tcPr>
            <w:tcW w:type="dxa" w:w="2268"/>
          </w:tcPr>
          <w:p>
            <w:r>
              <w:rPr>
                <w:rFonts w:ascii="Times New Roman" w:hAnsi="Times New Roman"/>
                <w:sz w:val="20"/>
              </w:rPr>
              <w:t>65,5 %</w:t>
            </w:r>
          </w:p>
        </w:tc>
        <w:tc>
          <w:tcPr>
            <w:tcW w:type="dxa" w:w="2268"/>
          </w:tcPr>
          <w:p>
            <w:r>
              <w:rPr>
                <w:rFonts w:ascii="Times New Roman" w:hAnsi="Times New Roman"/>
                <w:sz w:val="20"/>
              </w:rPr>
              <w:t>4.716,00</w:t>
            </w:r>
          </w:p>
        </w:tc>
      </w:tr>
      <w:tr>
        <w:tc>
          <w:tcPr>
            <w:tcW w:type="dxa" w:w="2268"/>
          </w:tcPr>
          <w:p>
            <w:r>
              <w:rPr>
                <w:rFonts w:ascii="Times New Roman" w:hAnsi="Times New Roman"/>
                <w:sz w:val="20"/>
              </w:rPr>
              <w:t>Gartenpflege</w:t>
            </w:r>
          </w:p>
        </w:tc>
        <w:tc>
          <w:tcPr>
            <w:tcW w:type="dxa" w:w="2268"/>
          </w:tcPr>
          <w:p>
            <w:r>
              <w:rPr>
                <w:rFonts w:ascii="Times New Roman" w:hAnsi="Times New Roman"/>
                <w:sz w:val="20"/>
              </w:rPr>
              <w:t>480,00</w:t>
            </w:r>
          </w:p>
        </w:tc>
        <w:tc>
          <w:tcPr>
            <w:tcW w:type="dxa" w:w="2268"/>
          </w:tcPr>
          <w:p>
            <w:r>
              <w:rPr>
                <w:rFonts w:ascii="Times New Roman" w:hAnsi="Times New Roman"/>
                <w:sz w:val="20"/>
              </w:rPr>
              <w:t>65,5 %</w:t>
            </w:r>
          </w:p>
        </w:tc>
        <w:tc>
          <w:tcPr>
            <w:tcW w:type="dxa" w:w="2268"/>
          </w:tcPr>
          <w:p>
            <w:r>
              <w:rPr>
                <w:rFonts w:ascii="Times New Roman" w:hAnsi="Times New Roman"/>
                <w:sz w:val="20"/>
              </w:rPr>
              <w:t>314,40</w:t>
            </w:r>
          </w:p>
        </w:tc>
      </w:tr>
      <w:tr>
        <w:tc>
          <w:tcPr>
            <w:tcW w:type="dxa" w:w="2268"/>
          </w:tcPr>
          <w:p>
            <w:r>
              <w:rPr>
                <w:rFonts w:ascii="Times New Roman" w:hAnsi="Times New Roman"/>
                <w:sz w:val="20"/>
              </w:rPr>
              <w:t>Allgemeinstrom</w:t>
            </w:r>
          </w:p>
        </w:tc>
        <w:tc>
          <w:tcPr>
            <w:tcW w:type="dxa" w:w="2268"/>
          </w:tcPr>
          <w:p>
            <w:r>
              <w:rPr>
                <w:rFonts w:ascii="Times New Roman" w:hAnsi="Times New Roman"/>
                <w:sz w:val="20"/>
              </w:rPr>
              <w:t>4.680,00</w:t>
            </w:r>
          </w:p>
        </w:tc>
        <w:tc>
          <w:tcPr>
            <w:tcW w:type="dxa" w:w="2268"/>
          </w:tcPr>
          <w:p>
            <w:r>
              <w:rPr>
                <w:rFonts w:ascii="Times New Roman" w:hAnsi="Times New Roman"/>
                <w:sz w:val="20"/>
              </w:rPr>
              <w:t>65,5 %</w:t>
            </w:r>
          </w:p>
        </w:tc>
        <w:tc>
          <w:tcPr>
            <w:tcW w:type="dxa" w:w="2268"/>
          </w:tcPr>
          <w:p>
            <w:r>
              <w:rPr>
                <w:rFonts w:ascii="Times New Roman" w:hAnsi="Times New Roman"/>
                <w:sz w:val="20"/>
              </w:rPr>
              <w:t>3.065,40</w:t>
            </w:r>
          </w:p>
        </w:tc>
      </w:tr>
      <w:tr>
        <w:tc>
          <w:tcPr>
            <w:tcW w:type="dxa" w:w="2268"/>
          </w:tcPr>
          <w:p>
            <w:r>
              <w:rPr>
                <w:rFonts w:ascii="Times New Roman" w:hAnsi="Times New Roman"/>
                <w:sz w:val="20"/>
              </w:rPr>
              <w:t>Schornsteinfeger</w:t>
            </w:r>
          </w:p>
        </w:tc>
        <w:tc>
          <w:tcPr>
            <w:tcW w:type="dxa" w:w="2268"/>
          </w:tcPr>
          <w:p>
            <w:r>
              <w:rPr>
                <w:rFonts w:ascii="Times New Roman" w:hAnsi="Times New Roman"/>
                <w:sz w:val="20"/>
              </w:rPr>
              <w:t>280,00</w:t>
            </w:r>
          </w:p>
        </w:tc>
        <w:tc>
          <w:tcPr>
            <w:tcW w:type="dxa" w:w="2268"/>
          </w:tcPr>
          <w:p>
            <w:r>
              <w:rPr>
                <w:rFonts w:ascii="Times New Roman" w:hAnsi="Times New Roman"/>
                <w:sz w:val="20"/>
              </w:rPr>
              <w:t>65,5 %</w:t>
            </w:r>
          </w:p>
        </w:tc>
        <w:tc>
          <w:tcPr>
            <w:tcW w:type="dxa" w:w="2268"/>
          </w:tcPr>
          <w:p>
            <w:r>
              <w:rPr>
                <w:rFonts w:ascii="Times New Roman" w:hAnsi="Times New Roman"/>
                <w:sz w:val="20"/>
              </w:rPr>
              <w:t>183,40</w:t>
            </w:r>
          </w:p>
        </w:tc>
      </w:tr>
      <w:tr>
        <w:tc>
          <w:tcPr>
            <w:tcW w:type="dxa" w:w="2268"/>
          </w:tcPr>
          <w:p>
            <w:r>
              <w:rPr>
                <w:rFonts w:ascii="Times New Roman" w:hAnsi="Times New Roman"/>
                <w:sz w:val="20"/>
              </w:rPr>
              <w:t>Gebäudeversicherung</w:t>
            </w:r>
          </w:p>
        </w:tc>
        <w:tc>
          <w:tcPr>
            <w:tcW w:type="dxa" w:w="2268"/>
          </w:tcPr>
          <w:p>
            <w:r>
              <w:rPr>
                <w:rFonts w:ascii="Times New Roman" w:hAnsi="Times New Roman"/>
                <w:sz w:val="20"/>
              </w:rPr>
              <w:t>4.960,00</w:t>
            </w:r>
          </w:p>
        </w:tc>
        <w:tc>
          <w:tcPr>
            <w:tcW w:type="dxa" w:w="2268"/>
          </w:tcPr>
          <w:p>
            <w:r>
              <w:rPr>
                <w:rFonts w:ascii="Times New Roman" w:hAnsi="Times New Roman"/>
                <w:sz w:val="20"/>
              </w:rPr>
              <w:t>65,5 %</w:t>
            </w:r>
          </w:p>
        </w:tc>
        <w:tc>
          <w:tcPr>
            <w:tcW w:type="dxa" w:w="2268"/>
          </w:tcPr>
          <w:p>
            <w:r>
              <w:rPr>
                <w:rFonts w:ascii="Times New Roman" w:hAnsi="Times New Roman"/>
                <w:sz w:val="20"/>
              </w:rPr>
              <w:t>3.248,80</w:t>
            </w:r>
          </w:p>
        </w:tc>
      </w:tr>
      <w:tr>
        <w:tc>
          <w:tcPr>
            <w:tcW w:type="dxa" w:w="2268"/>
          </w:tcPr>
          <w:p>
            <w:r>
              <w:rPr>
                <w:rFonts w:ascii="Times New Roman" w:hAnsi="Times New Roman"/>
                <w:sz w:val="20"/>
              </w:rPr>
              <w:t>Sonstiges</w:t>
            </w:r>
          </w:p>
        </w:tc>
        <w:tc>
          <w:tcPr>
            <w:tcW w:type="dxa" w:w="2268"/>
          </w:tcPr>
          <w:p>
            <w:r>
              <w:rPr>
                <w:rFonts w:ascii="Times New Roman" w:hAnsi="Times New Roman"/>
                <w:sz w:val="20"/>
              </w:rPr>
              <w:t>310,00</w:t>
            </w:r>
          </w:p>
        </w:tc>
        <w:tc>
          <w:tcPr>
            <w:tcW w:type="dxa" w:w="2268"/>
          </w:tcPr>
          <w:p>
            <w:r>
              <w:rPr>
                <w:rFonts w:ascii="Times New Roman" w:hAnsi="Times New Roman"/>
                <w:sz w:val="20"/>
              </w:rPr>
              <w:t>65,5 %</w:t>
            </w:r>
          </w:p>
        </w:tc>
        <w:tc>
          <w:tcPr>
            <w:tcW w:type="dxa" w:w="2268"/>
          </w:tcPr>
          <w:p>
            <w:r>
              <w:rPr>
                <w:rFonts w:ascii="Times New Roman" w:hAnsi="Times New Roman"/>
                <w:sz w:val="20"/>
              </w:rPr>
              <w:t>203,05</w:t>
            </w:r>
          </w:p>
        </w:tc>
      </w:tr>
      <w:tr>
        <w:tc>
          <w:tcPr>
            <w:tcW w:type="dxa" w:w="2268"/>
          </w:tcPr>
          <w:p>
            <w:r>
              <w:rPr>
                <w:rFonts w:ascii="Times New Roman" w:hAnsi="Times New Roman"/>
                <w:b/>
                <w:sz w:val="20"/>
              </w:rPr>
              <w:t>Summe</w:t>
            </w:r>
          </w:p>
        </w:tc>
        <w:tc>
          <w:tcPr>
            <w:tcW w:type="dxa" w:w="2268"/>
          </w:tcPr>
          <w:p>
            <w:r>
              <w:rPr>
                <w:rFonts w:ascii="Times New Roman" w:hAnsi="Times New Roman"/>
                <w:b/>
                <w:sz w:val="20"/>
              </w:rPr>
              <w:t>66.390,00</w:t>
            </w:r>
          </w:p>
        </w:tc>
        <w:tc>
          <w:tcPr>
            <w:tcW w:type="dxa" w:w="2268"/>
          </w:tcPr>
          <w:p/>
        </w:tc>
        <w:tc>
          <w:tcPr>
            <w:tcW w:type="dxa" w:w="2268"/>
          </w:tcPr>
          <w:p>
            <w:r>
              <w:rPr>
                <w:rFonts w:ascii="Times New Roman" w:hAnsi="Times New Roman"/>
                <w:b/>
                <w:sz w:val="20"/>
              </w:rPr>
              <w:t>43.485,45</w:t>
            </w:r>
          </w:p>
        </w:tc>
      </w:tr>
    </w:tbl>
    <w:p>
      <w:pPr>
        <w:pStyle w:val="Heading3"/>
      </w:pPr>
      <w:r>
        <w:rPr>
          <w:rFonts w:ascii="Times New Roman" w:hAnsi="Times New Roman"/>
        </w:rPr>
        <w:t>5.2 Vorauszahlungen (NK) 07.05.–31.12.2026</w:t>
      </w:r>
    </w:p>
    <w:p>
      <w:pPr>
        <w:jc w:val="left"/>
      </w:pPr>
      <w:r>
        <w:t>Solleingang Nebenkosten-Vorauszahlungen (alle Einheiten außer GE01 ab Juli 2026, WE03 Leerstand):</w:t>
      </w:r>
    </w:p>
    <w:p>
      <w:pPr>
        <w:pStyle w:val="ListBullet"/>
      </w:pPr>
      <w:r>
        <w:t>Monatlich Soll NK: 2.550,00 EUR</w:t>
      </w:r>
    </w:p>
    <w:p>
      <w:pPr>
        <w:pStyle w:val="ListBullet"/>
      </w:pPr>
      <w:r>
        <w:t xml:space="preserve">Zeitraum: 8 Monate (Mai–Dez) → erwarteter Eingang: </w:t>
      </w:r>
      <w:r>
        <w:rPr>
          <w:b/>
        </w:rPr>
        <w:t>16.920,00 EUR</w:t>
      </w:r>
      <w:r>
        <w:t xml:space="preserve"> (bei voller Zahlung)</w:t>
      </w:r>
    </w:p>
    <w:p>
      <w:pPr>
        <w:pStyle w:val="ListBullet"/>
      </w:pPr>
      <w:r>
        <w:t>Abweichungen durch GE01-Rückstand und Matuschek zu erwarten</w:t>
      </w:r>
    </w:p>
    <w:p>
      <w:pPr>
        <w:pStyle w:val="Heading3"/>
      </w:pPr>
      <w:r>
        <w:rPr>
          <w:rFonts w:ascii="Times New Roman" w:hAnsi="Times New Roman"/>
        </w:rPr>
        <w:t>5.3 Voraussichtliche Nachzahlung / Gutschrift</w:t>
      </w:r>
    </w:p>
    <w:p>
      <w:pPr>
        <w:jc w:val="left"/>
      </w:pPr>
      <w:r>
        <w:t xml:space="preserve">Prognose ergibt </w:t>
      </w:r>
      <w:r>
        <w:rPr>
          <w:b/>
        </w:rPr>
        <w:t>Nachzahlungsbedarf von ca. 5.700,00 EUR</w:t>
      </w:r>
      <w:r>
        <w:t xml:space="preserve"> (anteilig auf alle zahlenden Mieter), primär durch erhöhte Gaskosten und Grundsteuerrückstand. Einzelabrechnung nach Jahresende.</w:t>
      </w:r>
    </w:p>
    <w:p/>
    <w:p>
      <w:pPr>
        <w:pStyle w:val="Heading2"/>
      </w:pPr>
      <w:r>
        <w:rPr>
          <w:rFonts w:ascii="Times New Roman" w:hAnsi="Times New Roman"/>
        </w:rPr>
        <w:t>6. Betriebskostenabrechnung 2025</w:t>
      </w:r>
    </w:p>
    <w:p>
      <w:pPr>
        <w:jc w:val="left"/>
      </w:pPr>
      <w:r>
        <w:t>Die Abrechnung für 2025 wurde vom Schuldner nicht erstellt. Die Mieter wurden mit Schreiben vom 12.05.2026 informiert, dass die Abrechnung 2025 nach Übergabe der Unterlagen durch den Schuldner (Frist 31.07.2026) erstellt wird. Bei Nichterfüllung: Schätzabrechnung nach § 556 Abs. 3 BGB.</w:t>
      </w:r>
    </w:p>
    <w:p/>
    <w:p>
      <w:pPr>
        <w:pStyle w:val="Heading2"/>
      </w:pPr>
      <w:r>
        <w:rPr>
          <w:rFonts w:ascii="Times New Roman" w:hAnsi="Times New Roman"/>
        </w:rPr>
        <w:t>7. Hinweis Winterdienst</w:t>
      </w:r>
    </w:p>
    <w:p>
      <w:pPr>
        <w:jc w:val="left"/>
      </w:pPr>
      <w:r>
        <w:t>Der Winterdienst wird durch Hausmeisterin Karin Lehmann als Teil des Pauschalhausmeistervertrags erbracht (Einschluss bestätigt). Beginn der Winterdienstsaison: 01.11.2026. Kosten sind in der Haushmeisterdienstpauschale enthalten (keine Sonderkosten).</w:t>
      </w:r>
    </w:p>
    <w:p/>
    <w:p>
      <w:pPr>
        <w:jc w:val="left"/>
      </w:pPr>
      <w:r>
        <w:rPr>
          <w:b/>
        </w:rPr>
        <w:t>Anlagen:</w:t>
      </w:r>
    </w:p>
    <w:p>
      <w:pPr>
        <w:pStyle w:val="ListBullet"/>
      </w:pPr>
      <w:r>
        <w:t>BK-2026-Vorauszahlungsplan (Excel)</w:t>
      </w:r>
    </w:p>
    <w:p>
      <w:pPr>
        <w:pStyle w:val="ListBullet"/>
      </w:pPr>
      <w:r>
        <w:t>Hausmeistervertrag Karin Lehmann (Kopie, sobald vorgelegt)</w:t>
      </w:r>
    </w:p>
    <w:p>
      <w:pPr>
        <w:pStyle w:val="ListBullet"/>
      </w:pPr>
      <w:r>
        <w:t>Gasrechnung Stadtwerke Leipzig Mai 2026</w:t>
      </w:r>
    </w:p>
    <w:p>
      <w:pPr>
        <w:pStyle w:val="ListBullet"/>
      </w:pPr>
      <w:r>
        <w:t>Wasserrechnung Kommunale Wasserwerke Mai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