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Verteilungsplan – Entwurf (Stand: 30. September 2026)</w:t>
      </w:r>
    </w:p>
    <w:p>
      <w:pPr>
        <w:ind w:left="567"/>
      </w:pPr>
      <w:r>
        <w:rPr>
          <w:b/>
          <w:i/>
        </w:rPr>
        <w:t>Aktenzeichen:</w:t>
      </w:r>
      <w:r>
        <w:rPr>
          <w:i/>
        </w:rPr>
        <w:t xml:space="preserve"> 76 L 88/26</w:t>
      </w:r>
    </w:p>
    <w:p>
      <w:pPr>
        <w:ind w:left="567"/>
      </w:pPr>
      <w:r>
        <w:rPr>
          <w:b/>
          <w:i/>
        </w:rPr>
        <w:t>Bearbeiterin:</w:t>
      </w:r>
      <w:r>
        <w:rPr>
          <w:i/>
        </w:rPr>
        <w:t xml:space="preserve"> Julia Renner, Zwangsverwalterin</w:t>
      </w:r>
    </w:p>
    <w:p>
      <w:pPr>
        <w:ind w:left="567"/>
      </w:pPr>
      <w:r>
        <w:rPr>
          <w:b/>
          <w:i/>
        </w:rPr>
        <w:t>Grundlage:</w:t>
      </w:r>
      <w:r>
        <w:rPr>
          <w:i/>
        </w:rPr>
        <w:t xml:space="preserve"> § 155 ZVG, §§ 10, 11 ZVG (Rangfolge), §§ 18, 19 ZwVwV</w:t>
      </w:r>
    </w:p>
    <w:p>
      <w:pPr>
        <w:ind w:left="567"/>
      </w:pPr>
      <w:r>
        <w:rPr>
          <w:b/>
          <w:i/>
        </w:rPr>
        <w:t>Stand:</w:t>
      </w:r>
      <w:r>
        <w:rPr>
          <w:i/>
        </w:rPr>
        <w:t xml:space="preserve"> 30. September 2026</w:t>
      </w:r>
    </w:p>
    <w:p/>
    <w:p>
      <w:pPr>
        <w:pStyle w:val="Heading2"/>
      </w:pPr>
      <w:r>
        <w:rPr>
          <w:rFonts w:ascii="Times New Roman" w:hAnsi="Times New Roman"/>
        </w:rPr>
        <w:t>1. Vorbemerkung</w:t>
      </w:r>
    </w:p>
    <w:p>
      <w:pPr>
        <w:jc w:val="left"/>
      </w:pPr>
      <w:r>
        <w:t xml:space="preserve">Ein Verteilungsplan im Zwangsverwaltungsverfahren ist erst dann aufzustellen, wenn nach Abzug aller vorrangigen Ausgaben und Rücklagen eine auskehrungsfähige Überschussmasse vorhanden ist. Im vorliegenden Verfahren wurde die erste reguläre Verteilungsrechnung für den Zeitraum </w:t>
      </w:r>
      <w:r>
        <w:rPr>
          <w:b/>
        </w:rPr>
        <w:t>01.06.2026 – 30.09.2026</w:t>
      </w:r>
      <w:r>
        <w:t xml:space="preserve"> erstellt.</w:t>
      </w:r>
    </w:p>
    <w:p>
      <w:pPr>
        <w:jc w:val="left"/>
      </w:pPr>
      <w:r>
        <w:t>Hintergrund: Die Einnahmesituation hat sich nach Ausräumung der Zahlungsstreitigkeiten mit WE02 und GE01 ab Juli 2026 normalisiert. Der Leerstand WE03 dauert an.</w:t>
      </w:r>
    </w:p>
    <w:p/>
    <w:p>
      <w:pPr>
        <w:pStyle w:val="Heading2"/>
      </w:pPr>
      <w:r>
        <w:rPr>
          <w:rFonts w:ascii="Times New Roman" w:hAnsi="Times New Roman"/>
        </w:rPr>
        <w:t>2. Einnahmesituation (01.06.–30.09.2026)</w:t>
      </w:r>
    </w:p>
    <w:p>
      <w:pPr>
        <w:pStyle w:val="Heading3"/>
      </w:pPr>
      <w:r>
        <w:rPr>
          <w:rFonts w:ascii="Times New Roman" w:hAnsi="Times New Roman"/>
        </w:rPr>
        <w:t>2.1 Mieteinnahmen (Ist)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Monat</w:t>
            </w:r>
          </w:p>
        </w:tc>
        <w:tc>
          <w:tcPr>
            <w:tcW w:type="dxa" w:w="2268"/>
          </w:tcPr>
          <w:p>
            <w:r>
              <w:rPr>
                <w:rFonts w:ascii="Times New Roman" w:hAnsi="Times New Roman"/>
                <w:b/>
                <w:sz w:val="20"/>
              </w:rPr>
              <w:t>Einnahmen (EUR)</w:t>
            </w:r>
          </w:p>
        </w:tc>
        <w:tc>
          <w:tcPr>
            <w:tcW w:type="dxa" w:w="2268"/>
          </w:tcPr>
          <w:p>
            <w:r>
              <w:rPr>
                <w:rFonts w:ascii="Times New Roman" w:hAnsi="Times New Roman"/>
                <w:b/>
                <w:sz w:val="20"/>
              </w:rPr>
              <w:t>Rückstände (EUR)</w:t>
            </w:r>
          </w:p>
        </w:tc>
        <w:tc>
          <w:tcPr>
            <w:tcW w:type="dxa" w:w="2268"/>
          </w:tcPr>
          <w:p>
            <w:r>
              <w:rPr>
                <w:rFonts w:ascii="Times New Roman" w:hAnsi="Times New Roman"/>
                <w:b/>
                <w:sz w:val="20"/>
              </w:rPr>
              <w:t>Anmerkung</w:t>
            </w:r>
          </w:p>
        </w:tc>
      </w:tr>
      <w:tr>
        <w:tc>
          <w:tcPr>
            <w:tcW w:type="dxa" w:w="2268"/>
          </w:tcPr>
          <w:p>
            <w:r>
              <w:rPr>
                <w:rFonts w:ascii="Times New Roman" w:hAnsi="Times New Roman"/>
                <w:sz w:val="20"/>
              </w:rPr>
              <w:t>Juni 2026</w:t>
            </w:r>
          </w:p>
        </w:tc>
        <w:tc>
          <w:tcPr>
            <w:tcW w:type="dxa" w:w="2268"/>
          </w:tcPr>
          <w:p>
            <w:r>
              <w:rPr>
                <w:rFonts w:ascii="Times New Roman" w:hAnsi="Times New Roman"/>
                <w:sz w:val="20"/>
              </w:rPr>
              <w:t>8.240,00</w:t>
            </w:r>
          </w:p>
        </w:tc>
        <w:tc>
          <w:tcPr>
            <w:tcW w:type="dxa" w:w="2268"/>
          </w:tcPr>
          <w:p>
            <w:r>
              <w:rPr>
                <w:rFonts w:ascii="Times New Roman" w:hAnsi="Times New Roman"/>
                <w:sz w:val="20"/>
              </w:rPr>
              <w:t>3.230,00</w:t>
            </w:r>
          </w:p>
        </w:tc>
        <w:tc>
          <w:tcPr>
            <w:tcW w:type="dxa" w:w="2268"/>
          </w:tcPr>
          <w:p>
            <w:r>
              <w:rPr>
                <w:rFonts w:ascii="Times New Roman" w:hAnsi="Times New Roman"/>
                <w:sz w:val="20"/>
              </w:rPr>
              <w:t>GE01 zahlt noch nicht; WE02 zahlt ab Juni</w:t>
            </w:r>
          </w:p>
        </w:tc>
      </w:tr>
      <w:tr>
        <w:tc>
          <w:tcPr>
            <w:tcW w:type="dxa" w:w="2268"/>
          </w:tcPr>
          <w:p>
            <w:r>
              <w:rPr>
                <w:rFonts w:ascii="Times New Roman" w:hAnsi="Times New Roman"/>
                <w:sz w:val="20"/>
              </w:rPr>
              <w:t>Juli 2026</w:t>
            </w:r>
          </w:p>
        </w:tc>
        <w:tc>
          <w:tcPr>
            <w:tcW w:type="dxa" w:w="2268"/>
          </w:tcPr>
          <w:p>
            <w:r>
              <w:rPr>
                <w:rFonts w:ascii="Times New Roman" w:hAnsi="Times New Roman"/>
                <w:sz w:val="20"/>
              </w:rPr>
              <w:t>9.890,00</w:t>
            </w:r>
          </w:p>
        </w:tc>
        <w:tc>
          <w:tcPr>
            <w:tcW w:type="dxa" w:w="2268"/>
          </w:tcPr>
          <w:p>
            <w:r>
              <w:rPr>
                <w:rFonts w:ascii="Times New Roman" w:hAnsi="Times New Roman"/>
                <w:sz w:val="20"/>
              </w:rPr>
              <w:t>1.580,00</w:t>
            </w:r>
          </w:p>
        </w:tc>
        <w:tc>
          <w:tcPr>
            <w:tcW w:type="dxa" w:w="2268"/>
          </w:tcPr>
          <w:p>
            <w:r>
              <w:rPr>
                <w:rFonts w:ascii="Times New Roman" w:hAnsi="Times New Roman"/>
                <w:sz w:val="20"/>
              </w:rPr>
              <w:t>GE01 zahlt Teilbetrag (1.500 EUR)</w:t>
            </w:r>
          </w:p>
        </w:tc>
      </w:tr>
      <w:tr>
        <w:tc>
          <w:tcPr>
            <w:tcW w:type="dxa" w:w="2268"/>
          </w:tcPr>
          <w:p>
            <w:r>
              <w:rPr>
                <w:rFonts w:ascii="Times New Roman" w:hAnsi="Times New Roman"/>
                <w:sz w:val="20"/>
              </w:rPr>
              <w:t>August 2026</w:t>
            </w:r>
          </w:p>
        </w:tc>
        <w:tc>
          <w:tcPr>
            <w:tcW w:type="dxa" w:w="2268"/>
          </w:tcPr>
          <w:p>
            <w:r>
              <w:rPr>
                <w:rFonts w:ascii="Times New Roman" w:hAnsi="Times New Roman"/>
                <w:sz w:val="20"/>
              </w:rPr>
              <w:t>10.050,00</w:t>
            </w:r>
          </w:p>
        </w:tc>
        <w:tc>
          <w:tcPr>
            <w:tcW w:type="dxa" w:w="2268"/>
          </w:tcPr>
          <w:p>
            <w:r>
              <w:rPr>
                <w:rFonts w:ascii="Times New Roman" w:hAnsi="Times New Roman"/>
                <w:sz w:val="20"/>
              </w:rPr>
              <w:t>1.420,00</w:t>
            </w:r>
          </w:p>
        </w:tc>
        <w:tc>
          <w:tcPr>
            <w:tcW w:type="dxa" w:w="2268"/>
          </w:tcPr>
          <w:p>
            <w:r>
              <w:rPr>
                <w:rFonts w:ascii="Times New Roman" w:hAnsi="Times New Roman"/>
                <w:sz w:val="20"/>
              </w:rPr>
              <w:t>GE01 Minderungsvereinbarung 10 % abgeschlossen</w:t>
            </w:r>
          </w:p>
        </w:tc>
      </w:tr>
      <w:tr>
        <w:tc>
          <w:tcPr>
            <w:tcW w:type="dxa" w:w="2268"/>
          </w:tcPr>
          <w:p>
            <w:r>
              <w:rPr>
                <w:rFonts w:ascii="Times New Roman" w:hAnsi="Times New Roman"/>
                <w:sz w:val="20"/>
              </w:rPr>
              <w:t>September 2026</w:t>
            </w:r>
          </w:p>
        </w:tc>
        <w:tc>
          <w:tcPr>
            <w:tcW w:type="dxa" w:w="2268"/>
          </w:tcPr>
          <w:p>
            <w:r>
              <w:rPr>
                <w:rFonts w:ascii="Times New Roman" w:hAnsi="Times New Roman"/>
                <w:sz w:val="20"/>
              </w:rPr>
              <w:t>10.210,00</w:t>
            </w:r>
          </w:p>
        </w:tc>
        <w:tc>
          <w:tcPr>
            <w:tcW w:type="dxa" w:w="2268"/>
          </w:tcPr>
          <w:p>
            <w:r>
              <w:rPr>
                <w:rFonts w:ascii="Times New Roman" w:hAnsi="Times New Roman"/>
                <w:sz w:val="20"/>
              </w:rPr>
              <w:t>1.260,00</w:t>
            </w:r>
          </w:p>
        </w:tc>
        <w:tc>
          <w:tcPr>
            <w:tcW w:type="dxa" w:w="2268"/>
          </w:tcPr>
          <w:p>
            <w:r>
              <w:rPr>
                <w:rFonts w:ascii="Times New Roman" w:hAnsi="Times New Roman"/>
                <w:sz w:val="20"/>
              </w:rPr>
              <w:t>reguläres Einzugsbild</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38.390,00</w:t>
            </w:r>
          </w:p>
        </w:tc>
        <w:tc>
          <w:tcPr>
            <w:tcW w:type="dxa" w:w="2268"/>
          </w:tcPr>
          <w:p>
            <w:r>
              <w:rPr>
                <w:rFonts w:ascii="Times New Roman" w:hAnsi="Times New Roman"/>
                <w:b/>
                <w:sz w:val="20"/>
              </w:rPr>
              <w:t>7.490,00</w:t>
            </w:r>
          </w:p>
        </w:tc>
        <w:tc>
          <w:tcPr>
            <w:tcW w:type="dxa" w:w="2268"/>
          </w:tcPr>
          <w:p/>
        </w:tc>
      </w:tr>
    </w:tbl>
    <w:p>
      <w:pPr>
        <w:jc w:val="left"/>
      </w:pPr>
      <w:r>
        <w:t xml:space="preserve">Kumuliert seit Besitzübernahme (Mai 2026): Einnahmen insgesamt </w:t>
      </w:r>
      <w:r>
        <w:rPr>
          <w:b/>
        </w:rPr>
        <w:t>46.069,00 EUR</w:t>
      </w:r>
      <w:r>
        <w:t xml:space="preserve"> (inkl. Mai: 7.679,00 EUR).</w:t>
      </w:r>
    </w:p>
    <w:p>
      <w:pPr>
        <w:pStyle w:val="Heading3"/>
      </w:pPr>
      <w:r>
        <w:rPr>
          <w:rFonts w:ascii="Times New Roman" w:hAnsi="Times New Roman"/>
        </w:rPr>
        <w:t>2.2 Sonstige Einnahmen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Verfahrensvorschuss Gläubigerin (Eingang)</w:t>
            </w:r>
          </w:p>
        </w:tc>
        <w:tc>
          <w:tcPr>
            <w:tcW w:type="dxa" w:w="4536"/>
          </w:tcPr>
          <w:p>
            <w:r>
              <w:rPr>
                <w:rFonts w:ascii="Times New Roman" w:hAnsi="Times New Roman"/>
                <w:sz w:val="20"/>
              </w:rPr>
              <w:t>12.500,00</w:t>
            </w:r>
          </w:p>
        </w:tc>
      </w:tr>
      <w:tr>
        <w:tc>
          <w:tcPr>
            <w:tcW w:type="dxa" w:w="4536"/>
          </w:tcPr>
          <w:p>
            <w:r>
              <w:rPr>
                <w:rFonts w:ascii="Times New Roman" w:hAnsi="Times New Roman"/>
                <w:sz w:val="20"/>
              </w:rPr>
              <w:t>Rückforderung Grundsteuerüberzahlung (2025)</w:t>
            </w:r>
          </w:p>
        </w:tc>
        <w:tc>
          <w:tcPr>
            <w:tcW w:type="dxa" w:w="4536"/>
          </w:tcPr>
          <w:p>
            <w:r>
              <w:rPr>
                <w:rFonts w:ascii="Times New Roman" w:hAnsi="Times New Roman"/>
                <w:sz w:val="20"/>
              </w:rPr>
              <w:t>214,00</w:t>
            </w:r>
          </w:p>
        </w:tc>
      </w:tr>
      <w:tr>
        <w:tc>
          <w:tcPr>
            <w:tcW w:type="dxa" w:w="4536"/>
          </w:tcPr>
          <w:p>
            <w:r>
              <w:rPr>
                <w:rFonts w:ascii="Times New Roman" w:hAnsi="Times New Roman"/>
                <w:b/>
                <w:sz w:val="20"/>
              </w:rPr>
              <w:t>Summe sonstige Einnahmen</w:t>
            </w:r>
          </w:p>
        </w:tc>
        <w:tc>
          <w:tcPr>
            <w:tcW w:type="dxa" w:w="4536"/>
          </w:tcPr>
          <w:p>
            <w:r>
              <w:rPr>
                <w:rFonts w:ascii="Times New Roman" w:hAnsi="Times New Roman"/>
                <w:b/>
                <w:sz w:val="20"/>
              </w:rPr>
              <w:t>12.714,00</w:t>
            </w:r>
          </w:p>
        </w:tc>
      </w:tr>
    </w:tbl>
    <w:p>
      <w:pPr>
        <w:jc w:val="left"/>
      </w:pPr>
      <w:r>
        <w:rPr>
          <w:b/>
        </w:rPr>
        <w:t>Gesamteinnahmen Mai–September 2026: 58.783,00 EUR</w:t>
      </w:r>
    </w:p>
    <w:p/>
    <w:p>
      <w:pPr>
        <w:pStyle w:val="Heading2"/>
      </w:pPr>
      <w:r>
        <w:rPr>
          <w:rFonts w:ascii="Times New Roman" w:hAnsi="Times New Roman"/>
        </w:rPr>
        <w:t>3. Ausgaben (01.05.–30.09.2026)</w:t>
      </w:r>
    </w:p>
    <w:p>
      <w:pPr>
        <w:pStyle w:val="Heading3"/>
      </w:pPr>
      <w:r>
        <w:rPr>
          <w:rFonts w:ascii="Times New Roman" w:hAnsi="Times New Roman"/>
        </w:rPr>
        <w:t>3.1 Betriebskosten und laufende Lasten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Gesamt (EUR)</w:t>
            </w:r>
          </w:p>
        </w:tc>
      </w:tr>
      <w:tr>
        <w:tc>
          <w:tcPr>
            <w:tcW w:type="dxa" w:w="4536"/>
          </w:tcPr>
          <w:p>
            <w:r>
              <w:rPr>
                <w:rFonts w:ascii="Times New Roman" w:hAnsi="Times New Roman"/>
                <w:sz w:val="20"/>
              </w:rPr>
              <w:t>Heizung / Gas (Stadtwerke Leipzig)</w:t>
            </w:r>
          </w:p>
        </w:tc>
        <w:tc>
          <w:tcPr>
            <w:tcW w:type="dxa" w:w="4536"/>
          </w:tcPr>
          <w:p>
            <w:r>
              <w:rPr>
                <w:rFonts w:ascii="Times New Roman" w:hAnsi="Times New Roman"/>
                <w:sz w:val="20"/>
              </w:rPr>
              <w:t>14.000,00</w:t>
            </w:r>
          </w:p>
        </w:tc>
      </w:tr>
      <w:tr>
        <w:tc>
          <w:tcPr>
            <w:tcW w:type="dxa" w:w="4536"/>
          </w:tcPr>
          <w:p>
            <w:r>
              <w:rPr>
                <w:rFonts w:ascii="Times New Roman" w:hAnsi="Times New Roman"/>
                <w:sz w:val="20"/>
              </w:rPr>
              <w:t>Allgemeinstrom</w:t>
            </w:r>
          </w:p>
        </w:tc>
        <w:tc>
          <w:tcPr>
            <w:tcW w:type="dxa" w:w="4536"/>
          </w:tcPr>
          <w:p>
            <w:r>
              <w:rPr>
                <w:rFonts w:ascii="Times New Roman" w:hAnsi="Times New Roman"/>
                <w:sz w:val="20"/>
              </w:rPr>
              <w:t>1.950,00</w:t>
            </w:r>
          </w:p>
        </w:tc>
      </w:tr>
      <w:tr>
        <w:tc>
          <w:tcPr>
            <w:tcW w:type="dxa" w:w="4536"/>
          </w:tcPr>
          <w:p>
            <w:r>
              <w:rPr>
                <w:rFonts w:ascii="Times New Roman" w:hAnsi="Times New Roman"/>
                <w:sz w:val="20"/>
              </w:rPr>
              <w:t>Reinigung / Hausmeisterin Lehmann</w:t>
            </w:r>
          </w:p>
        </w:tc>
        <w:tc>
          <w:tcPr>
            <w:tcW w:type="dxa" w:w="4536"/>
          </w:tcPr>
          <w:p>
            <w:r>
              <w:rPr>
                <w:rFonts w:ascii="Times New Roman" w:hAnsi="Times New Roman"/>
                <w:sz w:val="20"/>
              </w:rPr>
              <w:t>3.000,00</w:t>
            </w:r>
          </w:p>
        </w:tc>
      </w:tr>
      <w:tr>
        <w:tc>
          <w:tcPr>
            <w:tcW w:type="dxa" w:w="4536"/>
          </w:tcPr>
          <w:p>
            <w:r>
              <w:rPr>
                <w:rFonts w:ascii="Times New Roman" w:hAnsi="Times New Roman"/>
                <w:sz w:val="20"/>
              </w:rPr>
              <w:t>Grundsteuer (2 Quartale + Rückstand Q1)</w:t>
            </w:r>
          </w:p>
        </w:tc>
        <w:tc>
          <w:tcPr>
            <w:tcW w:type="dxa" w:w="4536"/>
          </w:tcPr>
          <w:p>
            <w:r>
              <w:rPr>
                <w:rFonts w:ascii="Times New Roman" w:hAnsi="Times New Roman"/>
                <w:sz w:val="20"/>
              </w:rPr>
              <w:t>5.820,00</w:t>
            </w:r>
          </w:p>
        </w:tc>
      </w:tr>
      <w:tr>
        <w:tc>
          <w:tcPr>
            <w:tcW w:type="dxa" w:w="4536"/>
          </w:tcPr>
          <w:p>
            <w:r>
              <w:rPr>
                <w:rFonts w:ascii="Times New Roman" w:hAnsi="Times New Roman"/>
                <w:sz w:val="20"/>
              </w:rPr>
              <w:t>Gebäudeversicherung (inkl. Rückstand)</w:t>
            </w:r>
          </w:p>
        </w:tc>
        <w:tc>
          <w:tcPr>
            <w:tcW w:type="dxa" w:w="4536"/>
          </w:tcPr>
          <w:p>
            <w:r>
              <w:rPr>
                <w:rFonts w:ascii="Times New Roman" w:hAnsi="Times New Roman"/>
                <w:sz w:val="20"/>
              </w:rPr>
              <w:t>4.960,00</w:t>
            </w:r>
          </w:p>
        </w:tc>
      </w:tr>
      <w:tr>
        <w:tc>
          <w:tcPr>
            <w:tcW w:type="dxa" w:w="4536"/>
          </w:tcPr>
          <w:p>
            <w:r>
              <w:rPr>
                <w:rFonts w:ascii="Times New Roman" w:hAnsi="Times New Roman"/>
                <w:sz w:val="20"/>
              </w:rPr>
              <w:t>Abfallentsorgung</w:t>
            </w:r>
          </w:p>
        </w:tc>
        <w:tc>
          <w:tcPr>
            <w:tcW w:type="dxa" w:w="4536"/>
          </w:tcPr>
          <w:p>
            <w:r>
              <w:rPr>
                <w:rFonts w:ascii="Times New Roman" w:hAnsi="Times New Roman"/>
                <w:sz w:val="20"/>
              </w:rPr>
              <w:t>620,00</w:t>
            </w:r>
          </w:p>
        </w:tc>
      </w:tr>
      <w:tr>
        <w:tc>
          <w:tcPr>
            <w:tcW w:type="dxa" w:w="4536"/>
          </w:tcPr>
          <w:p>
            <w:r>
              <w:rPr>
                <w:rFonts w:ascii="Times New Roman" w:hAnsi="Times New Roman"/>
                <w:sz w:val="20"/>
              </w:rPr>
              <w:t>Wasser / Abwasser</w:t>
            </w:r>
          </w:p>
        </w:tc>
        <w:tc>
          <w:tcPr>
            <w:tcW w:type="dxa" w:w="4536"/>
          </w:tcPr>
          <w:p>
            <w:r>
              <w:rPr>
                <w:rFonts w:ascii="Times New Roman" w:hAnsi="Times New Roman"/>
                <w:sz w:val="20"/>
              </w:rPr>
              <w:t>2.450,00</w:t>
            </w:r>
          </w:p>
        </w:tc>
      </w:tr>
      <w:tr>
        <w:tc>
          <w:tcPr>
            <w:tcW w:type="dxa" w:w="4536"/>
          </w:tcPr>
          <w:p>
            <w:r>
              <w:rPr>
                <w:rFonts w:ascii="Times New Roman" w:hAnsi="Times New Roman"/>
                <w:sz w:val="20"/>
              </w:rPr>
              <w:t>Schornsteinfeger</w:t>
            </w:r>
          </w:p>
        </w:tc>
        <w:tc>
          <w:tcPr>
            <w:tcW w:type="dxa" w:w="4536"/>
          </w:tcPr>
          <w:p>
            <w:r>
              <w:rPr>
                <w:rFonts w:ascii="Times New Roman" w:hAnsi="Times New Roman"/>
                <w:sz w:val="20"/>
              </w:rPr>
              <w:t>280,00</w:t>
            </w:r>
          </w:p>
        </w:tc>
      </w:tr>
      <w:tr>
        <w:tc>
          <w:tcPr>
            <w:tcW w:type="dxa" w:w="4536"/>
          </w:tcPr>
          <w:p>
            <w:r>
              <w:rPr>
                <w:rFonts w:ascii="Times New Roman" w:hAnsi="Times New Roman"/>
                <w:sz w:val="20"/>
              </w:rPr>
              <w:t>Sonstiges Betrieb</w:t>
            </w:r>
          </w:p>
        </w:tc>
        <w:tc>
          <w:tcPr>
            <w:tcW w:type="dxa" w:w="4536"/>
          </w:tcPr>
          <w:p>
            <w:r>
              <w:rPr>
                <w:rFonts w:ascii="Times New Roman" w:hAnsi="Times New Roman"/>
                <w:sz w:val="20"/>
              </w:rPr>
              <w:t>310,00</w:t>
            </w:r>
          </w:p>
        </w:tc>
      </w:tr>
      <w:tr>
        <w:tc>
          <w:tcPr>
            <w:tcW w:type="dxa" w:w="4536"/>
          </w:tcPr>
          <w:p>
            <w:r>
              <w:rPr>
                <w:rFonts w:ascii="Times New Roman" w:hAnsi="Times New Roman"/>
                <w:b/>
                <w:sz w:val="20"/>
              </w:rPr>
              <w:t>Summe Betriebskosten</w:t>
            </w:r>
          </w:p>
        </w:tc>
        <w:tc>
          <w:tcPr>
            <w:tcW w:type="dxa" w:w="4536"/>
          </w:tcPr>
          <w:p>
            <w:r>
              <w:rPr>
                <w:rFonts w:ascii="Times New Roman" w:hAnsi="Times New Roman"/>
                <w:b/>
                <w:sz w:val="20"/>
              </w:rPr>
              <w:t>33.390,00</w:t>
            </w:r>
          </w:p>
        </w:tc>
      </w:tr>
    </w:tbl>
    <w:p>
      <w:pPr>
        <w:pStyle w:val="Heading3"/>
      </w:pPr>
      <w:r>
        <w:rPr>
          <w:rFonts w:ascii="Times New Roman" w:hAnsi="Times New Roman"/>
        </w:rPr>
        <w:t>3.2 Instandhaltungsmaßnahmen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EUR</w:t>
            </w:r>
          </w:p>
        </w:tc>
      </w:tr>
      <w:tr>
        <w:tc>
          <w:tcPr>
            <w:tcW w:type="dxa" w:w="4536"/>
          </w:tcPr>
          <w:p>
            <w:r>
              <w:rPr>
                <w:rFonts w:ascii="Times New Roman" w:hAnsi="Times New Roman"/>
                <w:sz w:val="20"/>
              </w:rPr>
              <w:t>M01–M03: Dachrinne Notfall + Leckortung + Muffe</w:t>
            </w:r>
          </w:p>
        </w:tc>
        <w:tc>
          <w:tcPr>
            <w:tcW w:type="dxa" w:w="4536"/>
          </w:tcPr>
          <w:p>
            <w:r>
              <w:rPr>
                <w:rFonts w:ascii="Times New Roman" w:hAnsi="Times New Roman"/>
                <w:sz w:val="20"/>
              </w:rPr>
              <w:t>3.520,00</w:t>
            </w:r>
          </w:p>
        </w:tc>
      </w:tr>
      <w:tr>
        <w:tc>
          <w:tcPr>
            <w:tcW w:type="dxa" w:w="4536"/>
          </w:tcPr>
          <w:p>
            <w:r>
              <w:rPr>
                <w:rFonts w:ascii="Times New Roman" w:hAnsi="Times New Roman"/>
                <w:sz w:val="20"/>
              </w:rPr>
              <w:t>M04: Dachrinne dauerhaft</w:t>
            </w:r>
          </w:p>
        </w:tc>
        <w:tc>
          <w:tcPr>
            <w:tcW w:type="dxa" w:w="4536"/>
          </w:tcPr>
          <w:p>
            <w:r>
              <w:rPr>
                <w:rFonts w:ascii="Times New Roman" w:hAnsi="Times New Roman"/>
                <w:sz w:val="20"/>
              </w:rPr>
              <w:t>2.200,00</w:t>
            </w:r>
          </w:p>
        </w:tc>
      </w:tr>
      <w:tr>
        <w:tc>
          <w:tcPr>
            <w:tcW w:type="dxa" w:w="4536"/>
          </w:tcPr>
          <w:p>
            <w:r>
              <w:rPr>
                <w:rFonts w:ascii="Times New Roman" w:hAnsi="Times New Roman"/>
                <w:sz w:val="20"/>
              </w:rPr>
              <w:t>M05: Balkon WE04 Geländer</w:t>
            </w:r>
          </w:p>
        </w:tc>
        <w:tc>
          <w:tcPr>
            <w:tcW w:type="dxa" w:w="4536"/>
          </w:tcPr>
          <w:p>
            <w:r>
              <w:rPr>
                <w:rFonts w:ascii="Times New Roman" w:hAnsi="Times New Roman"/>
                <w:sz w:val="20"/>
              </w:rPr>
              <w:t>900,00</w:t>
            </w:r>
          </w:p>
        </w:tc>
      </w:tr>
      <w:tr>
        <w:tc>
          <w:tcPr>
            <w:tcW w:type="dxa" w:w="4536"/>
          </w:tcPr>
          <w:p>
            <w:r>
              <w:rPr>
                <w:rFonts w:ascii="Times New Roman" w:hAnsi="Times New Roman"/>
                <w:sz w:val="20"/>
              </w:rPr>
              <w:t>M06: Kellertrocknung</w:t>
            </w:r>
          </w:p>
        </w:tc>
        <w:tc>
          <w:tcPr>
            <w:tcW w:type="dxa" w:w="4536"/>
          </w:tcPr>
          <w:p>
            <w:r>
              <w:rPr>
                <w:rFonts w:ascii="Times New Roman" w:hAnsi="Times New Roman"/>
                <w:sz w:val="20"/>
              </w:rPr>
              <w:t>3.400,00</w:t>
            </w:r>
          </w:p>
        </w:tc>
      </w:tr>
      <w:tr>
        <w:tc>
          <w:tcPr>
            <w:tcW w:type="dxa" w:w="4536"/>
          </w:tcPr>
          <w:p>
            <w:r>
              <w:rPr>
                <w:rFonts w:ascii="Times New Roman" w:hAnsi="Times New Roman"/>
                <w:sz w:val="20"/>
              </w:rPr>
              <w:t>M07: Heizungswartung</w:t>
            </w:r>
          </w:p>
        </w:tc>
        <w:tc>
          <w:tcPr>
            <w:tcW w:type="dxa" w:w="4536"/>
          </w:tcPr>
          <w:p>
            <w:r>
              <w:rPr>
                <w:rFonts w:ascii="Times New Roman" w:hAnsi="Times New Roman"/>
                <w:sz w:val="20"/>
              </w:rPr>
              <w:t>580,00</w:t>
            </w:r>
          </w:p>
        </w:tc>
      </w:tr>
      <w:tr>
        <w:tc>
          <w:tcPr>
            <w:tcW w:type="dxa" w:w="4536"/>
          </w:tcPr>
          <w:p>
            <w:r>
              <w:rPr>
                <w:rFonts w:ascii="Times New Roman" w:hAnsi="Times New Roman"/>
                <w:sz w:val="20"/>
              </w:rPr>
              <w:t>M08–M10: Kleinmaßnahmen</w:t>
            </w:r>
          </w:p>
        </w:tc>
        <w:tc>
          <w:tcPr>
            <w:tcW w:type="dxa" w:w="4536"/>
          </w:tcPr>
          <w:p>
            <w:r>
              <w:rPr>
                <w:rFonts w:ascii="Times New Roman" w:hAnsi="Times New Roman"/>
                <w:sz w:val="20"/>
              </w:rPr>
              <w:t>1.145,00</w:t>
            </w:r>
          </w:p>
        </w:tc>
      </w:tr>
      <w:tr>
        <w:tc>
          <w:tcPr>
            <w:tcW w:type="dxa" w:w="4536"/>
          </w:tcPr>
          <w:p>
            <w:r>
              <w:rPr>
                <w:rFonts w:ascii="Times New Roman" w:hAnsi="Times New Roman"/>
                <w:b/>
                <w:sz w:val="20"/>
              </w:rPr>
              <w:t>Summe Instandhaltung</w:t>
            </w:r>
          </w:p>
        </w:tc>
        <w:tc>
          <w:tcPr>
            <w:tcW w:type="dxa" w:w="4536"/>
          </w:tcPr>
          <w:p>
            <w:r>
              <w:rPr>
                <w:rFonts w:ascii="Times New Roman" w:hAnsi="Times New Roman"/>
                <w:b/>
                <w:sz w:val="20"/>
              </w:rPr>
              <w:t>11.745,00</w:t>
            </w:r>
          </w:p>
        </w:tc>
      </w:tr>
    </w:tbl>
    <w:p>
      <w:pPr>
        <w:pStyle w:val="Heading3"/>
      </w:pPr>
      <w:r>
        <w:rPr>
          <w:rFonts w:ascii="Times New Roman" w:hAnsi="Times New Roman"/>
        </w:rPr>
        <w:t>3.3 Vergütung Zwangsverwalterin</w:t>
      </w:r>
    </w:p>
    <w:p>
      <w:pPr>
        <w:jc w:val="left"/>
      </w:pPr>
      <w:r>
        <w:t>Die Vergütung richtet sich nach § 17 ZwVwV. Berechnungsgrundlage: tatsächlich eingezogene Mieten, 6 % zzgl. 19 % USt.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Zeitraum</w:t>
            </w:r>
          </w:p>
        </w:tc>
        <w:tc>
          <w:tcPr>
            <w:tcW w:type="dxa" w:w="1814"/>
          </w:tcPr>
          <w:p>
            <w:r>
              <w:rPr>
                <w:rFonts w:ascii="Times New Roman" w:hAnsi="Times New Roman"/>
                <w:b/>
                <w:sz w:val="20"/>
              </w:rPr>
              <w:t>Eingezogene Mieten</w:t>
            </w:r>
          </w:p>
        </w:tc>
        <w:tc>
          <w:tcPr>
            <w:tcW w:type="dxa" w:w="1814"/>
          </w:tcPr>
          <w:p>
            <w:r>
              <w:rPr>
                <w:rFonts w:ascii="Times New Roman" w:hAnsi="Times New Roman"/>
                <w:b/>
                <w:sz w:val="20"/>
              </w:rPr>
              <w:t>6 % Vergütung</w:t>
            </w:r>
          </w:p>
        </w:tc>
        <w:tc>
          <w:tcPr>
            <w:tcW w:type="dxa" w:w="1814"/>
          </w:tcPr>
          <w:p>
            <w:r>
              <w:rPr>
                <w:rFonts w:ascii="Times New Roman" w:hAnsi="Times New Roman"/>
                <w:b/>
                <w:sz w:val="20"/>
              </w:rPr>
              <w:t>19 % USt</w:t>
            </w:r>
          </w:p>
        </w:tc>
        <w:tc>
          <w:tcPr>
            <w:tcW w:type="dxa" w:w="1814"/>
          </w:tcPr>
          <w:p>
            <w:r>
              <w:rPr>
                <w:rFonts w:ascii="Times New Roman" w:hAnsi="Times New Roman"/>
                <w:b/>
                <w:sz w:val="20"/>
              </w:rPr>
              <w:t>Brutto</w:t>
            </w:r>
          </w:p>
        </w:tc>
      </w:tr>
      <w:tr>
        <w:tc>
          <w:tcPr>
            <w:tcW w:type="dxa" w:w="1814"/>
          </w:tcPr>
          <w:p>
            <w:r>
              <w:rPr>
                <w:rFonts w:ascii="Times New Roman" w:hAnsi="Times New Roman"/>
                <w:sz w:val="20"/>
              </w:rPr>
              <w:t>Mai 2026</w:t>
            </w:r>
          </w:p>
        </w:tc>
        <w:tc>
          <w:tcPr>
            <w:tcW w:type="dxa" w:w="1814"/>
          </w:tcPr>
          <w:p>
            <w:r>
              <w:rPr>
                <w:rFonts w:ascii="Times New Roman" w:hAnsi="Times New Roman"/>
                <w:sz w:val="20"/>
              </w:rPr>
              <w:t>7.679,00</w:t>
            </w:r>
          </w:p>
        </w:tc>
        <w:tc>
          <w:tcPr>
            <w:tcW w:type="dxa" w:w="1814"/>
          </w:tcPr>
          <w:p>
            <w:r>
              <w:rPr>
                <w:rFonts w:ascii="Times New Roman" w:hAnsi="Times New Roman"/>
                <w:sz w:val="20"/>
              </w:rPr>
              <w:t>460,74</w:t>
            </w:r>
          </w:p>
        </w:tc>
        <w:tc>
          <w:tcPr>
            <w:tcW w:type="dxa" w:w="1814"/>
          </w:tcPr>
          <w:p>
            <w:r>
              <w:rPr>
                <w:rFonts w:ascii="Times New Roman" w:hAnsi="Times New Roman"/>
                <w:sz w:val="20"/>
              </w:rPr>
              <w:t>87,54</w:t>
            </w:r>
          </w:p>
        </w:tc>
        <w:tc>
          <w:tcPr>
            <w:tcW w:type="dxa" w:w="1814"/>
          </w:tcPr>
          <w:p>
            <w:r>
              <w:rPr>
                <w:rFonts w:ascii="Times New Roman" w:hAnsi="Times New Roman"/>
                <w:sz w:val="20"/>
              </w:rPr>
              <w:t>548,28</w:t>
            </w:r>
          </w:p>
        </w:tc>
      </w:tr>
      <w:tr>
        <w:tc>
          <w:tcPr>
            <w:tcW w:type="dxa" w:w="1814"/>
          </w:tcPr>
          <w:p>
            <w:r>
              <w:rPr>
                <w:rFonts w:ascii="Times New Roman" w:hAnsi="Times New Roman"/>
                <w:sz w:val="20"/>
              </w:rPr>
              <w:t>Juni 2026</w:t>
            </w:r>
          </w:p>
        </w:tc>
        <w:tc>
          <w:tcPr>
            <w:tcW w:type="dxa" w:w="1814"/>
          </w:tcPr>
          <w:p>
            <w:r>
              <w:rPr>
                <w:rFonts w:ascii="Times New Roman" w:hAnsi="Times New Roman"/>
                <w:sz w:val="20"/>
              </w:rPr>
              <w:t>8.240,00</w:t>
            </w:r>
          </w:p>
        </w:tc>
        <w:tc>
          <w:tcPr>
            <w:tcW w:type="dxa" w:w="1814"/>
          </w:tcPr>
          <w:p>
            <w:r>
              <w:rPr>
                <w:rFonts w:ascii="Times New Roman" w:hAnsi="Times New Roman"/>
                <w:sz w:val="20"/>
              </w:rPr>
              <w:t>494,40</w:t>
            </w:r>
          </w:p>
        </w:tc>
        <w:tc>
          <w:tcPr>
            <w:tcW w:type="dxa" w:w="1814"/>
          </w:tcPr>
          <w:p>
            <w:r>
              <w:rPr>
                <w:rFonts w:ascii="Times New Roman" w:hAnsi="Times New Roman"/>
                <w:sz w:val="20"/>
              </w:rPr>
              <w:t>93,94</w:t>
            </w:r>
          </w:p>
        </w:tc>
        <w:tc>
          <w:tcPr>
            <w:tcW w:type="dxa" w:w="1814"/>
          </w:tcPr>
          <w:p>
            <w:r>
              <w:rPr>
                <w:rFonts w:ascii="Times New Roman" w:hAnsi="Times New Roman"/>
                <w:sz w:val="20"/>
              </w:rPr>
              <w:t>588,34</w:t>
            </w:r>
          </w:p>
        </w:tc>
      </w:tr>
      <w:tr>
        <w:tc>
          <w:tcPr>
            <w:tcW w:type="dxa" w:w="1814"/>
          </w:tcPr>
          <w:p>
            <w:r>
              <w:rPr>
                <w:rFonts w:ascii="Times New Roman" w:hAnsi="Times New Roman"/>
                <w:sz w:val="20"/>
              </w:rPr>
              <w:t>Juli 2026</w:t>
            </w:r>
          </w:p>
        </w:tc>
        <w:tc>
          <w:tcPr>
            <w:tcW w:type="dxa" w:w="1814"/>
          </w:tcPr>
          <w:p>
            <w:r>
              <w:rPr>
                <w:rFonts w:ascii="Times New Roman" w:hAnsi="Times New Roman"/>
                <w:sz w:val="20"/>
              </w:rPr>
              <w:t>9.890,00</w:t>
            </w:r>
          </w:p>
        </w:tc>
        <w:tc>
          <w:tcPr>
            <w:tcW w:type="dxa" w:w="1814"/>
          </w:tcPr>
          <w:p>
            <w:r>
              <w:rPr>
                <w:rFonts w:ascii="Times New Roman" w:hAnsi="Times New Roman"/>
                <w:sz w:val="20"/>
              </w:rPr>
              <w:t>593,40</w:t>
            </w:r>
          </w:p>
        </w:tc>
        <w:tc>
          <w:tcPr>
            <w:tcW w:type="dxa" w:w="1814"/>
          </w:tcPr>
          <w:p>
            <w:r>
              <w:rPr>
                <w:rFonts w:ascii="Times New Roman" w:hAnsi="Times New Roman"/>
                <w:sz w:val="20"/>
              </w:rPr>
              <w:t>112,75</w:t>
            </w:r>
          </w:p>
        </w:tc>
        <w:tc>
          <w:tcPr>
            <w:tcW w:type="dxa" w:w="1814"/>
          </w:tcPr>
          <w:p>
            <w:r>
              <w:rPr>
                <w:rFonts w:ascii="Times New Roman" w:hAnsi="Times New Roman"/>
                <w:sz w:val="20"/>
              </w:rPr>
              <w:t>706,15</w:t>
            </w:r>
          </w:p>
        </w:tc>
      </w:tr>
      <w:tr>
        <w:tc>
          <w:tcPr>
            <w:tcW w:type="dxa" w:w="1814"/>
          </w:tcPr>
          <w:p>
            <w:r>
              <w:rPr>
                <w:rFonts w:ascii="Times New Roman" w:hAnsi="Times New Roman"/>
                <w:sz w:val="20"/>
              </w:rPr>
              <w:t>August 2026</w:t>
            </w:r>
          </w:p>
        </w:tc>
        <w:tc>
          <w:tcPr>
            <w:tcW w:type="dxa" w:w="1814"/>
          </w:tcPr>
          <w:p>
            <w:r>
              <w:rPr>
                <w:rFonts w:ascii="Times New Roman" w:hAnsi="Times New Roman"/>
                <w:sz w:val="20"/>
              </w:rPr>
              <w:t>10.050,00</w:t>
            </w:r>
          </w:p>
        </w:tc>
        <w:tc>
          <w:tcPr>
            <w:tcW w:type="dxa" w:w="1814"/>
          </w:tcPr>
          <w:p>
            <w:r>
              <w:rPr>
                <w:rFonts w:ascii="Times New Roman" w:hAnsi="Times New Roman"/>
                <w:sz w:val="20"/>
              </w:rPr>
              <w:t>603,00</w:t>
            </w:r>
          </w:p>
        </w:tc>
        <w:tc>
          <w:tcPr>
            <w:tcW w:type="dxa" w:w="1814"/>
          </w:tcPr>
          <w:p>
            <w:r>
              <w:rPr>
                <w:rFonts w:ascii="Times New Roman" w:hAnsi="Times New Roman"/>
                <w:sz w:val="20"/>
              </w:rPr>
              <w:t>114,57</w:t>
            </w:r>
          </w:p>
        </w:tc>
        <w:tc>
          <w:tcPr>
            <w:tcW w:type="dxa" w:w="1814"/>
          </w:tcPr>
          <w:p>
            <w:r>
              <w:rPr>
                <w:rFonts w:ascii="Times New Roman" w:hAnsi="Times New Roman"/>
                <w:sz w:val="20"/>
              </w:rPr>
              <w:t>717,57</w:t>
            </w:r>
          </w:p>
        </w:tc>
      </w:tr>
      <w:tr>
        <w:tc>
          <w:tcPr>
            <w:tcW w:type="dxa" w:w="1814"/>
          </w:tcPr>
          <w:p>
            <w:r>
              <w:rPr>
                <w:rFonts w:ascii="Times New Roman" w:hAnsi="Times New Roman"/>
                <w:sz w:val="20"/>
              </w:rPr>
              <w:t>September 2026</w:t>
            </w:r>
          </w:p>
        </w:tc>
        <w:tc>
          <w:tcPr>
            <w:tcW w:type="dxa" w:w="1814"/>
          </w:tcPr>
          <w:p>
            <w:r>
              <w:rPr>
                <w:rFonts w:ascii="Times New Roman" w:hAnsi="Times New Roman"/>
                <w:sz w:val="20"/>
              </w:rPr>
              <w:t>10.210,00</w:t>
            </w:r>
          </w:p>
        </w:tc>
        <w:tc>
          <w:tcPr>
            <w:tcW w:type="dxa" w:w="1814"/>
          </w:tcPr>
          <w:p>
            <w:r>
              <w:rPr>
                <w:rFonts w:ascii="Times New Roman" w:hAnsi="Times New Roman"/>
                <w:sz w:val="20"/>
              </w:rPr>
              <w:t>612,60</w:t>
            </w:r>
          </w:p>
        </w:tc>
        <w:tc>
          <w:tcPr>
            <w:tcW w:type="dxa" w:w="1814"/>
          </w:tcPr>
          <w:p>
            <w:r>
              <w:rPr>
                <w:rFonts w:ascii="Times New Roman" w:hAnsi="Times New Roman"/>
                <w:sz w:val="20"/>
              </w:rPr>
              <w:t>116,39</w:t>
            </w:r>
          </w:p>
        </w:tc>
        <w:tc>
          <w:tcPr>
            <w:tcW w:type="dxa" w:w="1814"/>
          </w:tcPr>
          <w:p>
            <w:r>
              <w:rPr>
                <w:rFonts w:ascii="Times New Roman" w:hAnsi="Times New Roman"/>
                <w:sz w:val="20"/>
              </w:rPr>
              <w:t>728,99</w:t>
            </w:r>
          </w:p>
        </w:tc>
      </w:tr>
      <w:tr>
        <w:tc>
          <w:tcPr>
            <w:tcW w:type="dxa" w:w="1814"/>
          </w:tcPr>
          <w:p>
            <w:r>
              <w:rPr>
                <w:rFonts w:ascii="Times New Roman" w:hAnsi="Times New Roman"/>
                <w:b/>
                <w:sz w:val="20"/>
              </w:rPr>
              <w:t>Summe</w:t>
            </w:r>
          </w:p>
        </w:tc>
        <w:tc>
          <w:tcPr>
            <w:tcW w:type="dxa" w:w="1814"/>
          </w:tcPr>
          <w:p>
            <w:r>
              <w:rPr>
                <w:rFonts w:ascii="Times New Roman" w:hAnsi="Times New Roman"/>
                <w:b/>
                <w:sz w:val="20"/>
              </w:rPr>
              <w:t>46.069,00</w:t>
            </w:r>
          </w:p>
        </w:tc>
        <w:tc>
          <w:tcPr>
            <w:tcW w:type="dxa" w:w="1814"/>
          </w:tcPr>
          <w:p>
            <w:r>
              <w:rPr>
                <w:rFonts w:ascii="Times New Roman" w:hAnsi="Times New Roman"/>
                <w:b/>
                <w:sz w:val="20"/>
              </w:rPr>
              <w:t>2.764,14</w:t>
            </w:r>
          </w:p>
        </w:tc>
        <w:tc>
          <w:tcPr>
            <w:tcW w:type="dxa" w:w="1814"/>
          </w:tcPr>
          <w:p>
            <w:r>
              <w:rPr>
                <w:rFonts w:ascii="Times New Roman" w:hAnsi="Times New Roman"/>
                <w:b/>
                <w:sz w:val="20"/>
              </w:rPr>
              <w:t>525,19</w:t>
            </w:r>
          </w:p>
        </w:tc>
        <w:tc>
          <w:tcPr>
            <w:tcW w:type="dxa" w:w="1814"/>
          </w:tcPr>
          <w:p>
            <w:r>
              <w:rPr>
                <w:rFonts w:ascii="Times New Roman" w:hAnsi="Times New Roman"/>
                <w:b/>
                <w:sz w:val="20"/>
              </w:rPr>
              <w:t>3.289,33</w:t>
            </w:r>
          </w:p>
        </w:tc>
      </w:tr>
    </w:tbl>
    <w:p>
      <w:pPr>
        <w:pStyle w:val="Heading3"/>
      </w:pPr>
      <w:r>
        <w:rPr>
          <w:rFonts w:ascii="Times New Roman" w:hAnsi="Times New Roman"/>
        </w:rPr>
        <w:t>3.4 Sonstige Ausgaben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Buchhaltung / externe Kosten</w:t>
            </w:r>
          </w:p>
        </w:tc>
        <w:tc>
          <w:tcPr>
            <w:tcW w:type="dxa" w:w="4536"/>
          </w:tcPr>
          <w:p>
            <w:r>
              <w:rPr>
                <w:rFonts w:ascii="Times New Roman" w:hAnsi="Times New Roman"/>
                <w:sz w:val="20"/>
              </w:rPr>
              <w:t>800,00</w:t>
            </w:r>
          </w:p>
        </w:tc>
      </w:tr>
      <w:tr>
        <w:tc>
          <w:tcPr>
            <w:tcW w:type="dxa" w:w="4536"/>
          </w:tcPr>
          <w:p>
            <w:r>
              <w:rPr>
                <w:rFonts w:ascii="Times New Roman" w:hAnsi="Times New Roman"/>
                <w:sz w:val="20"/>
              </w:rPr>
              <w:t>Porto, Kopien, Bankgebühren</w:t>
            </w:r>
          </w:p>
        </w:tc>
        <w:tc>
          <w:tcPr>
            <w:tcW w:type="dxa" w:w="4536"/>
          </w:tcPr>
          <w:p>
            <w:r>
              <w:rPr>
                <w:rFonts w:ascii="Times New Roman" w:hAnsi="Times New Roman"/>
                <w:sz w:val="20"/>
              </w:rPr>
              <w:t>120,00</w:t>
            </w:r>
          </w:p>
        </w:tc>
      </w:tr>
      <w:tr>
        <w:tc>
          <w:tcPr>
            <w:tcW w:type="dxa" w:w="4536"/>
          </w:tcPr>
          <w:p>
            <w:r>
              <w:rPr>
                <w:rFonts w:ascii="Times New Roman" w:hAnsi="Times New Roman"/>
                <w:b/>
                <w:sz w:val="20"/>
              </w:rPr>
              <w:t>Summe Sonstiges</w:t>
            </w:r>
          </w:p>
        </w:tc>
        <w:tc>
          <w:tcPr>
            <w:tcW w:type="dxa" w:w="4536"/>
          </w:tcPr>
          <w:p>
            <w:r>
              <w:rPr>
                <w:rFonts w:ascii="Times New Roman" w:hAnsi="Times New Roman"/>
                <w:b/>
                <w:sz w:val="20"/>
              </w:rPr>
              <w:t>920,00</w:t>
            </w:r>
          </w:p>
        </w:tc>
      </w:tr>
    </w:tbl>
    <w:p>
      <w:pPr>
        <w:pStyle w:val="Heading3"/>
      </w:pPr>
      <w:r>
        <w:rPr>
          <w:rFonts w:ascii="Times New Roman" w:hAnsi="Times New Roman"/>
        </w:rPr>
        <w:t>3.5 Gesamtausgaben Mai–September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Kategorie</w:t>
            </w:r>
          </w:p>
        </w:tc>
        <w:tc>
          <w:tcPr>
            <w:tcW w:type="dxa" w:w="4536"/>
          </w:tcPr>
          <w:p>
            <w:r>
              <w:rPr>
                <w:rFonts w:ascii="Times New Roman" w:hAnsi="Times New Roman"/>
                <w:b/>
                <w:sz w:val="20"/>
              </w:rPr>
              <w:t>EUR</w:t>
            </w:r>
          </w:p>
        </w:tc>
      </w:tr>
      <w:tr>
        <w:tc>
          <w:tcPr>
            <w:tcW w:type="dxa" w:w="4536"/>
          </w:tcPr>
          <w:p>
            <w:r>
              <w:rPr>
                <w:rFonts w:ascii="Times New Roman" w:hAnsi="Times New Roman"/>
                <w:sz w:val="20"/>
              </w:rPr>
              <w:t>Betriebskosten</w:t>
            </w:r>
          </w:p>
        </w:tc>
        <w:tc>
          <w:tcPr>
            <w:tcW w:type="dxa" w:w="4536"/>
          </w:tcPr>
          <w:p>
            <w:r>
              <w:rPr>
                <w:rFonts w:ascii="Times New Roman" w:hAnsi="Times New Roman"/>
                <w:sz w:val="20"/>
              </w:rPr>
              <w:t>33.390,00</w:t>
            </w:r>
          </w:p>
        </w:tc>
      </w:tr>
      <w:tr>
        <w:tc>
          <w:tcPr>
            <w:tcW w:type="dxa" w:w="4536"/>
          </w:tcPr>
          <w:p>
            <w:r>
              <w:rPr>
                <w:rFonts w:ascii="Times New Roman" w:hAnsi="Times New Roman"/>
                <w:sz w:val="20"/>
              </w:rPr>
              <w:t>Instandhaltung</w:t>
            </w:r>
          </w:p>
        </w:tc>
        <w:tc>
          <w:tcPr>
            <w:tcW w:type="dxa" w:w="4536"/>
          </w:tcPr>
          <w:p>
            <w:r>
              <w:rPr>
                <w:rFonts w:ascii="Times New Roman" w:hAnsi="Times New Roman"/>
                <w:sz w:val="20"/>
              </w:rPr>
              <w:t>11.745,00</w:t>
            </w:r>
          </w:p>
        </w:tc>
      </w:tr>
      <w:tr>
        <w:tc>
          <w:tcPr>
            <w:tcW w:type="dxa" w:w="4536"/>
          </w:tcPr>
          <w:p>
            <w:r>
              <w:rPr>
                <w:rFonts w:ascii="Times New Roman" w:hAnsi="Times New Roman"/>
                <w:sz w:val="20"/>
              </w:rPr>
              <w:t>Vergütung Zwangsverwalterin</w:t>
            </w:r>
          </w:p>
        </w:tc>
        <w:tc>
          <w:tcPr>
            <w:tcW w:type="dxa" w:w="4536"/>
          </w:tcPr>
          <w:p>
            <w:r>
              <w:rPr>
                <w:rFonts w:ascii="Times New Roman" w:hAnsi="Times New Roman"/>
                <w:sz w:val="20"/>
              </w:rPr>
              <w:t>3.289,33</w:t>
            </w:r>
          </w:p>
        </w:tc>
      </w:tr>
      <w:tr>
        <w:tc>
          <w:tcPr>
            <w:tcW w:type="dxa" w:w="4536"/>
          </w:tcPr>
          <w:p>
            <w:r>
              <w:rPr>
                <w:rFonts w:ascii="Times New Roman" w:hAnsi="Times New Roman"/>
                <w:sz w:val="20"/>
              </w:rPr>
              <w:t>Sonstiges</w:t>
            </w:r>
          </w:p>
        </w:tc>
        <w:tc>
          <w:tcPr>
            <w:tcW w:type="dxa" w:w="4536"/>
          </w:tcPr>
          <w:p>
            <w:r>
              <w:rPr>
                <w:rFonts w:ascii="Times New Roman" w:hAnsi="Times New Roman"/>
                <w:sz w:val="20"/>
              </w:rPr>
              <w:t>920,00</w:t>
            </w:r>
          </w:p>
        </w:tc>
      </w:tr>
      <w:tr>
        <w:tc>
          <w:tcPr>
            <w:tcW w:type="dxa" w:w="4536"/>
          </w:tcPr>
          <w:p>
            <w:r>
              <w:rPr>
                <w:rFonts w:ascii="Times New Roman" w:hAnsi="Times New Roman"/>
                <w:b/>
                <w:sz w:val="20"/>
              </w:rPr>
              <w:t>Gesamtausgaben</w:t>
            </w:r>
          </w:p>
        </w:tc>
        <w:tc>
          <w:tcPr>
            <w:tcW w:type="dxa" w:w="4536"/>
          </w:tcPr>
          <w:p>
            <w:r>
              <w:rPr>
                <w:rFonts w:ascii="Times New Roman" w:hAnsi="Times New Roman"/>
                <w:b/>
                <w:sz w:val="20"/>
              </w:rPr>
              <w:t>49.344,33</w:t>
            </w:r>
          </w:p>
        </w:tc>
      </w:tr>
    </w:tbl>
    <w:p/>
    <w:p>
      <w:pPr>
        <w:pStyle w:val="Heading2"/>
      </w:pPr>
      <w:r>
        <w:rPr>
          <w:rFonts w:ascii="Times New Roman" w:hAnsi="Times New Roman"/>
        </w:rPr>
        <w:t>4. Saldo und Rücklage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Gesamteinnahmen</w:t>
            </w:r>
          </w:p>
        </w:tc>
        <w:tc>
          <w:tcPr>
            <w:tcW w:type="dxa" w:w="4536"/>
          </w:tcPr>
          <w:p>
            <w:r>
              <w:rPr>
                <w:rFonts w:ascii="Times New Roman" w:hAnsi="Times New Roman"/>
                <w:sz w:val="20"/>
              </w:rPr>
              <w:t>58.783,00</w:t>
            </w:r>
          </w:p>
        </w:tc>
      </w:tr>
      <w:tr>
        <w:tc>
          <w:tcPr>
            <w:tcW w:type="dxa" w:w="4536"/>
          </w:tcPr>
          <w:p>
            <w:r>
              <w:rPr>
                <w:rFonts w:ascii="Times New Roman" w:hAnsi="Times New Roman"/>
                <w:sz w:val="20"/>
              </w:rPr>
              <w:t>Gesamtausgaben</w:t>
            </w:r>
          </w:p>
        </w:tc>
        <w:tc>
          <w:tcPr>
            <w:tcW w:type="dxa" w:w="4536"/>
          </w:tcPr>
          <w:p>
            <w:r>
              <w:rPr>
                <w:rFonts w:ascii="Times New Roman" w:hAnsi="Times New Roman"/>
                <w:sz w:val="20"/>
              </w:rPr>
              <w:t>−49.344,33</w:t>
            </w:r>
          </w:p>
        </w:tc>
      </w:tr>
      <w:tr>
        <w:tc>
          <w:tcPr>
            <w:tcW w:type="dxa" w:w="4536"/>
          </w:tcPr>
          <w:p>
            <w:r>
              <w:rPr>
                <w:rFonts w:ascii="Times New Roman" w:hAnsi="Times New Roman"/>
                <w:b/>
                <w:sz w:val="20"/>
              </w:rPr>
              <w:t>Überschuss vor Rücklage</w:t>
            </w:r>
          </w:p>
        </w:tc>
        <w:tc>
          <w:tcPr>
            <w:tcW w:type="dxa" w:w="4536"/>
          </w:tcPr>
          <w:p>
            <w:r>
              <w:rPr>
                <w:rFonts w:ascii="Times New Roman" w:hAnsi="Times New Roman"/>
                <w:b/>
                <w:sz w:val="20"/>
              </w:rPr>
              <w:t>9.438,67</w:t>
            </w:r>
          </w:p>
        </w:tc>
      </w:tr>
    </w:tbl>
    <w:p>
      <w:pPr>
        <w:pStyle w:val="Heading3"/>
      </w:pPr>
      <w:r>
        <w:rPr>
          <w:rFonts w:ascii="Times New Roman" w:hAnsi="Times New Roman"/>
        </w:rPr>
        <w:t>Rücklagenplanung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Rücklageposition</w:t>
            </w:r>
          </w:p>
        </w:tc>
        <w:tc>
          <w:tcPr>
            <w:tcW w:type="dxa" w:w="3024"/>
          </w:tcPr>
          <w:p>
            <w:r>
              <w:rPr>
                <w:rFonts w:ascii="Times New Roman" w:hAnsi="Times New Roman"/>
                <w:b/>
                <w:sz w:val="20"/>
              </w:rPr>
              <w:t>Betrag (EUR)</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Instandhaltungsrücklage laufend</w:t>
            </w:r>
          </w:p>
        </w:tc>
        <w:tc>
          <w:tcPr>
            <w:tcW w:type="dxa" w:w="3024"/>
          </w:tcPr>
          <w:p>
            <w:r>
              <w:rPr>
                <w:rFonts w:ascii="Times New Roman" w:hAnsi="Times New Roman"/>
                <w:sz w:val="20"/>
              </w:rPr>
              <w:t>3.000,00</w:t>
            </w:r>
          </w:p>
        </w:tc>
        <w:tc>
          <w:tcPr>
            <w:tcW w:type="dxa" w:w="3024"/>
          </w:tcPr>
          <w:p>
            <w:r>
              <w:rPr>
                <w:rFonts w:ascii="Times New Roman" w:hAnsi="Times New Roman"/>
                <w:sz w:val="20"/>
              </w:rPr>
              <w:t>ca. 3 Monate Pauschale 1.000 EUR/Monat</w:t>
            </w:r>
          </w:p>
        </w:tc>
      </w:tr>
      <w:tr>
        <w:tc>
          <w:tcPr>
            <w:tcW w:type="dxa" w:w="3024"/>
          </w:tcPr>
          <w:p>
            <w:r>
              <w:rPr>
                <w:rFonts w:ascii="Times New Roman" w:hAnsi="Times New Roman"/>
                <w:sz w:val="20"/>
              </w:rPr>
              <w:t>Rücklage GE01-Rückstand (unsicher)</w:t>
            </w:r>
          </w:p>
        </w:tc>
        <w:tc>
          <w:tcPr>
            <w:tcW w:type="dxa" w:w="3024"/>
          </w:tcPr>
          <w:p>
            <w:r>
              <w:rPr>
                <w:rFonts w:ascii="Times New Roman" w:hAnsi="Times New Roman"/>
                <w:sz w:val="20"/>
              </w:rPr>
              <w:t>2.500,00</w:t>
            </w:r>
          </w:p>
        </w:tc>
        <w:tc>
          <w:tcPr>
            <w:tcW w:type="dxa" w:w="3024"/>
          </w:tcPr>
          <w:p>
            <w:r>
              <w:rPr>
                <w:rFonts w:ascii="Times New Roman" w:hAnsi="Times New Roman"/>
                <w:sz w:val="20"/>
              </w:rPr>
              <w:t>Teilrückstand GE01 noch offen</w:t>
            </w:r>
          </w:p>
        </w:tc>
      </w:tr>
      <w:tr>
        <w:tc>
          <w:tcPr>
            <w:tcW w:type="dxa" w:w="3024"/>
          </w:tcPr>
          <w:p>
            <w:r>
              <w:rPr>
                <w:rFonts w:ascii="Times New Roman" w:hAnsi="Times New Roman"/>
                <w:sz w:val="20"/>
              </w:rPr>
              <w:t>Rücklage BK-Abrechnung 2025</w:t>
            </w:r>
          </w:p>
        </w:tc>
        <w:tc>
          <w:tcPr>
            <w:tcW w:type="dxa" w:w="3024"/>
          </w:tcPr>
          <w:p>
            <w:r>
              <w:rPr>
                <w:rFonts w:ascii="Times New Roman" w:hAnsi="Times New Roman"/>
                <w:sz w:val="20"/>
              </w:rPr>
              <w:t>1.500,00</w:t>
            </w:r>
          </w:p>
        </w:tc>
        <w:tc>
          <w:tcPr>
            <w:tcW w:type="dxa" w:w="3024"/>
          </w:tcPr>
          <w:p>
            <w:r>
              <w:rPr>
                <w:rFonts w:ascii="Times New Roman" w:hAnsi="Times New Roman"/>
                <w:sz w:val="20"/>
              </w:rPr>
              <w:t>Nachzahlung Vorjahr erwartet</w:t>
            </w:r>
          </w:p>
        </w:tc>
      </w:tr>
      <w:tr>
        <w:tc>
          <w:tcPr>
            <w:tcW w:type="dxa" w:w="3024"/>
          </w:tcPr>
          <w:p>
            <w:r>
              <w:rPr>
                <w:rFonts w:ascii="Times New Roman" w:hAnsi="Times New Roman"/>
                <w:b/>
                <w:sz w:val="20"/>
              </w:rPr>
              <w:t>Summe Rücklagen</w:t>
            </w:r>
          </w:p>
        </w:tc>
        <w:tc>
          <w:tcPr>
            <w:tcW w:type="dxa" w:w="3024"/>
          </w:tcPr>
          <w:p>
            <w:r>
              <w:rPr>
                <w:rFonts w:ascii="Times New Roman" w:hAnsi="Times New Roman"/>
                <w:b/>
                <w:sz w:val="20"/>
              </w:rPr>
              <w:t>7.000,00</w:t>
            </w:r>
          </w:p>
        </w:tc>
        <w:tc>
          <w:tcPr>
            <w:tcW w:type="dxa" w:w="3024"/>
          </w:tcPr>
          <w:p/>
        </w:tc>
      </w:tr>
    </w:tbl>
    <w:p>
      <w:pPr>
        <w:jc w:val="left"/>
      </w:pPr>
      <w:r>
        <w:rPr>
          <w:b/>
        </w:rPr>
        <w:t>Verteilungsfähige Masse: 9.438,67 − 7.000,00 = 2.438,67 EUR</w:t>
      </w:r>
    </w:p>
    <w:p/>
    <w:p>
      <w:pPr>
        <w:pStyle w:val="Heading2"/>
      </w:pPr>
      <w:r>
        <w:rPr>
          <w:rFonts w:ascii="Times New Roman" w:hAnsi="Times New Roman"/>
        </w:rPr>
        <w:t>5. Gläubigerrangfolge (§ 10 ZVG)</w:t>
      </w:r>
    </w:p>
    <w:p>
      <w:pPr>
        <w:jc w:val="left"/>
      </w:pPr>
      <w:r>
        <w:t>Nach § 10 Abs. 1 ZVG werden Ansprüche in folgender Rangfolge befriedigt: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Rang</w:t>
            </w:r>
          </w:p>
        </w:tc>
        <w:tc>
          <w:tcPr>
            <w:tcW w:type="dxa" w:w="2268"/>
          </w:tcPr>
          <w:p>
            <w:r>
              <w:rPr>
                <w:rFonts w:ascii="Times New Roman" w:hAnsi="Times New Roman"/>
                <w:b/>
                <w:sz w:val="20"/>
              </w:rPr>
              <w:t>Gläubiger / Position</w:t>
            </w:r>
          </w:p>
        </w:tc>
        <w:tc>
          <w:tcPr>
            <w:tcW w:type="dxa" w:w="2268"/>
          </w:tcPr>
          <w:p>
            <w:r>
              <w:rPr>
                <w:rFonts w:ascii="Times New Roman" w:hAnsi="Times New Roman"/>
                <w:b/>
                <w:sz w:val="20"/>
              </w:rPr>
              <w:t>Anspruch (EUR)</w:t>
            </w:r>
          </w:p>
        </w:tc>
        <w:tc>
          <w:tcPr>
            <w:tcW w:type="dxa" w:w="2268"/>
          </w:tcPr>
          <w:p>
            <w:r>
              <w:rPr>
                <w:rFonts w:ascii="Times New Roman" w:hAnsi="Times New Roman"/>
                <w:b/>
                <w:sz w:val="20"/>
              </w:rPr>
              <w:t>Bedienung möglich</w:t>
            </w:r>
          </w:p>
        </w:tc>
      </w:tr>
      <w:tr>
        <w:tc>
          <w:tcPr>
            <w:tcW w:type="dxa" w:w="2268"/>
          </w:tcPr>
          <w:p>
            <w:r>
              <w:rPr>
                <w:rFonts w:ascii="Times New Roman" w:hAnsi="Times New Roman"/>
                <w:sz w:val="20"/>
              </w:rPr>
              <w:t>Rang 1</w:t>
            </w:r>
          </w:p>
        </w:tc>
        <w:tc>
          <w:tcPr>
            <w:tcW w:type="dxa" w:w="2268"/>
          </w:tcPr>
          <w:p>
            <w:r>
              <w:rPr>
                <w:rFonts w:ascii="Times New Roman" w:hAnsi="Times New Roman"/>
                <w:sz w:val="20"/>
              </w:rPr>
              <w:t>Öffentliche Lasten (Grundsteuer)</w:t>
            </w:r>
          </w:p>
        </w:tc>
        <w:tc>
          <w:tcPr>
            <w:tcW w:type="dxa" w:w="2268"/>
          </w:tcPr>
          <w:p>
            <w:r>
              <w:rPr>
                <w:rFonts w:ascii="Times New Roman" w:hAnsi="Times New Roman"/>
                <w:sz w:val="20"/>
              </w:rPr>
              <w:t>0,00</w:t>
            </w:r>
          </w:p>
        </w:tc>
        <w:tc>
          <w:tcPr>
            <w:tcW w:type="dxa" w:w="2268"/>
          </w:tcPr>
          <w:p>
            <w:r>
              <w:rPr>
                <w:rFonts w:ascii="Times New Roman" w:hAnsi="Times New Roman"/>
                <w:sz w:val="20"/>
              </w:rPr>
              <w:t>bereits bezahlt</w:t>
            </w:r>
          </w:p>
        </w:tc>
      </w:tr>
      <w:tr>
        <w:tc>
          <w:tcPr>
            <w:tcW w:type="dxa" w:w="2268"/>
          </w:tcPr>
          <w:p>
            <w:r>
              <w:rPr>
                <w:rFonts w:ascii="Times New Roman" w:hAnsi="Times New Roman"/>
                <w:sz w:val="20"/>
              </w:rPr>
              <w:t>Rang 2</w:t>
            </w:r>
          </w:p>
        </w:tc>
        <w:tc>
          <w:tcPr>
            <w:tcW w:type="dxa" w:w="2268"/>
          </w:tcPr>
          <w:p>
            <w:r>
              <w:rPr>
                <w:rFonts w:ascii="Times New Roman" w:hAnsi="Times New Roman"/>
                <w:sz w:val="20"/>
              </w:rPr>
              <w:t>Wiederkehrende Leistungen (Versicherung)</w:t>
            </w:r>
          </w:p>
        </w:tc>
        <w:tc>
          <w:tcPr>
            <w:tcW w:type="dxa" w:w="2268"/>
          </w:tcPr>
          <w:p>
            <w:r>
              <w:rPr>
                <w:rFonts w:ascii="Times New Roman" w:hAnsi="Times New Roman"/>
                <w:sz w:val="20"/>
              </w:rPr>
              <w:t>0,00</w:t>
            </w:r>
          </w:p>
        </w:tc>
        <w:tc>
          <w:tcPr>
            <w:tcW w:type="dxa" w:w="2268"/>
          </w:tcPr>
          <w:p>
            <w:r>
              <w:rPr>
                <w:rFonts w:ascii="Times New Roman" w:hAnsi="Times New Roman"/>
                <w:sz w:val="20"/>
              </w:rPr>
              <w:t>bereits bezahlt</w:t>
            </w:r>
          </w:p>
        </w:tc>
      </w:tr>
      <w:tr>
        <w:tc>
          <w:tcPr>
            <w:tcW w:type="dxa" w:w="2268"/>
          </w:tcPr>
          <w:p>
            <w:r>
              <w:rPr>
                <w:rFonts w:ascii="Times New Roman" w:hAnsi="Times New Roman"/>
                <w:sz w:val="20"/>
              </w:rPr>
              <w:t>Rang 3</w:t>
            </w:r>
          </w:p>
        </w:tc>
        <w:tc>
          <w:tcPr>
            <w:tcW w:type="dxa" w:w="2268"/>
          </w:tcPr>
          <w:p>
            <w:r>
              <w:rPr>
                <w:rFonts w:ascii="Times New Roman" w:hAnsi="Times New Roman"/>
                <w:sz w:val="20"/>
              </w:rPr>
              <w:t>Verfahrenskosten / Vergütung Zwangsverwalter</w:t>
            </w:r>
          </w:p>
        </w:tc>
        <w:tc>
          <w:tcPr>
            <w:tcW w:type="dxa" w:w="2268"/>
          </w:tcPr>
          <w:p>
            <w:r>
              <w:rPr>
                <w:rFonts w:ascii="Times New Roman" w:hAnsi="Times New Roman"/>
                <w:sz w:val="20"/>
              </w:rPr>
              <w:t>3.289,33</w:t>
            </w:r>
          </w:p>
        </w:tc>
        <w:tc>
          <w:tcPr>
            <w:tcW w:type="dxa" w:w="2268"/>
          </w:tcPr>
          <w:p>
            <w:r>
              <w:rPr>
                <w:rFonts w:ascii="Times New Roman" w:hAnsi="Times New Roman"/>
                <w:sz w:val="20"/>
              </w:rPr>
              <w:t>vorrangig</w:t>
            </w:r>
          </w:p>
        </w:tc>
      </w:tr>
      <w:tr>
        <w:tc>
          <w:tcPr>
            <w:tcW w:type="dxa" w:w="2268"/>
          </w:tcPr>
          <w:p>
            <w:r>
              <w:rPr>
                <w:rFonts w:ascii="Times New Roman" w:hAnsi="Times New Roman"/>
                <w:sz w:val="20"/>
              </w:rPr>
              <w:t>Rang 5</w:t>
            </w:r>
          </w:p>
        </w:tc>
        <w:tc>
          <w:tcPr>
            <w:tcW w:type="dxa" w:w="2268"/>
          </w:tcPr>
          <w:p>
            <w:r>
              <w:rPr>
                <w:rFonts w:ascii="Times New Roman" w:hAnsi="Times New Roman"/>
                <w:sz w:val="20"/>
              </w:rPr>
              <w:t>Sachsen Kreditbank AG (Buchgrundschuld lfd. Nr. 2)</w:t>
            </w:r>
          </w:p>
        </w:tc>
        <w:tc>
          <w:tcPr>
            <w:tcW w:type="dxa" w:w="2268"/>
          </w:tcPr>
          <w:p>
            <w:r>
              <w:rPr>
                <w:rFonts w:ascii="Times New Roman" w:hAnsi="Times New Roman"/>
                <w:sz w:val="20"/>
              </w:rPr>
              <w:t>204.808,00</w:t>
            </w:r>
          </w:p>
        </w:tc>
        <w:tc>
          <w:tcPr>
            <w:tcW w:type="dxa" w:w="2268"/>
          </w:tcPr>
          <w:p>
            <w:r>
              <w:rPr>
                <w:rFonts w:ascii="Times New Roman" w:hAnsi="Times New Roman"/>
                <w:sz w:val="20"/>
              </w:rPr>
              <w:t>Teilauskehr</w:t>
            </w:r>
          </w:p>
        </w:tc>
      </w:tr>
      <w:tr>
        <w:tc>
          <w:tcPr>
            <w:tcW w:type="dxa" w:w="2268"/>
          </w:tcPr>
          <w:p>
            <w:r>
              <w:rPr>
                <w:rFonts w:ascii="Times New Roman" w:hAnsi="Times New Roman"/>
                <w:b/>
                <w:sz w:val="20"/>
              </w:rPr>
              <w:t>Verteilung</w:t>
            </w:r>
          </w:p>
        </w:tc>
        <w:tc>
          <w:tcPr>
            <w:tcW w:type="dxa" w:w="2268"/>
          </w:tcPr>
          <w:p>
            <w:r>
              <w:rPr>
                <w:rFonts w:ascii="Times New Roman" w:hAnsi="Times New Roman"/>
                <w:b/>
                <w:sz w:val="20"/>
              </w:rPr>
              <w:t>Sachsen Kreditbank AG</w:t>
            </w:r>
          </w:p>
        </w:tc>
        <w:tc>
          <w:tcPr>
            <w:tcW w:type="dxa" w:w="2268"/>
          </w:tcPr>
          <w:p>
            <w:r>
              <w:rPr>
                <w:rFonts w:ascii="Times New Roman" w:hAnsi="Times New Roman"/>
                <w:b/>
                <w:sz w:val="20"/>
              </w:rPr>
              <w:t>2.438,67</w:t>
            </w:r>
          </w:p>
        </w:tc>
        <w:tc>
          <w:tcPr>
            <w:tcW w:type="dxa" w:w="2268"/>
          </w:tcPr>
          <w:p/>
        </w:tc>
      </w:tr>
    </w:tbl>
    <w:p/>
    <w:p>
      <w:pPr>
        <w:pStyle w:val="Heading2"/>
      </w:pPr>
      <w:r>
        <w:rPr>
          <w:rFonts w:ascii="Times New Roman" w:hAnsi="Times New Roman"/>
        </w:rPr>
        <w:t>6. Antrag auf Zustimmung zur Auskehrung</w:t>
      </w:r>
    </w:p>
    <w:p>
      <w:pPr>
        <w:jc w:val="left"/>
      </w:pPr>
      <w:r>
        <w:t xml:space="preserve">Die Zwangsverwalterin beantragt beim Vollstreckungsgericht die Genehmigung zur Auskehrung von </w:t>
      </w:r>
      <w:r>
        <w:rPr>
          <w:b/>
        </w:rPr>
        <w:t>2.438,67 EUR</w:t>
      </w:r>
      <w:r>
        <w:t xml:space="preserve"> an die betreibende Gläubigerin Sachsen Kreditbank AG.</w:t>
      </w:r>
    </w:p>
    <w:p>
      <w:pPr>
        <w:jc w:val="left"/>
      </w:pPr>
      <w:r>
        <w:t>Gleichzeitig wird der Verfahrensvorschuss (teilweise) mit der Vergütung der Zwangsverwalterin verrechnet; der verbleibende Vorschusssaldo wird der Gläubigerin gutgeschrieben.</w:t>
      </w:r>
    </w:p>
    <w:p/>
    <w:p>
      <w:pPr>
        <w:pStyle w:val="Heading2"/>
      </w:pPr>
      <w:r>
        <w:rPr>
          <w:rFonts w:ascii="Times New Roman" w:hAnsi="Times New Roman"/>
        </w:rPr>
        <w:t>7. Nächste Auskehr-Periode</w:t>
      </w:r>
    </w:p>
    <w:p>
      <w:pPr>
        <w:jc w:val="left"/>
      </w:pPr>
      <w:r>
        <w:t xml:space="preserve">Nächste Verteilung geplant für: </w:t>
      </w:r>
      <w:r>
        <w:rPr>
          <w:b/>
        </w:rPr>
        <w:t>31. Dezember 2026</w:t>
      </w:r>
      <w:r>
        <w:t xml:space="preserve"> (zum Jahresabschluss).</w:t>
      </w:r>
    </w:p>
    <w:p>
      <w:pPr>
        <w:jc w:val="left"/>
      </w:pPr>
      <w:r>
        <w:t>Voraussetzungen:</w:t>
      </w:r>
    </w:p>
    <w:p>
      <w:pPr>
        <w:pStyle w:val="ListBullet"/>
      </w:pPr>
      <w:r>
        <w:t>Vollständige Zahlung GE01 (oder Vollstreckungstitel)</w:t>
      </w:r>
    </w:p>
    <w:p>
      <w:pPr>
        <w:pStyle w:val="ListBullet"/>
      </w:pPr>
      <w:r>
        <w:t>Entscheidung über Wiedervermietung WE03</w:t>
      </w:r>
    </w:p>
    <w:p>
      <w:pPr>
        <w:pStyle w:val="ListBullet"/>
      </w:pPr>
      <w:r>
        <w:t>Abschluss Kellertrocknung und Endabrechnung Instandhaltung</w:t>
      </w:r>
    </w:p>
    <w:p/>
    <w:p>
      <w:pPr>
        <w:jc w:val="left"/>
      </w:pPr>
      <w:r>
        <w:rPr>
          <w:b/>
        </w:rPr>
        <w:t>Anlagen:</w:t>
      </w:r>
    </w:p>
    <w:p>
      <w:pPr>
        <w:pStyle w:val="ListBullet"/>
      </w:pPr>
      <w:r>
        <w:t>Kontoauszüge Treuhandkonto Mai–September 2026</w:t>
      </w:r>
    </w:p>
    <w:p>
      <w:pPr>
        <w:pStyle w:val="ListBullet"/>
      </w:pPr>
      <w:r>
        <w:t>Einzelnachweise Ausgaben (Rechnungsordner)</w:t>
      </w:r>
    </w:p>
    <w:p>
      <w:pPr>
        <w:pStyle w:val="ListBullet"/>
      </w:pPr>
      <w:r>
        <w:t>Vergütungsberechnung nach § 17 ZwVwV</w:t>
      </w:r>
    </w:p>
    <w:p>
      <w:pPr>
        <w:pStyle w:val="ListBullet"/>
      </w:pPr>
      <w:r>
        <w:t>Beleg Grundsteuer-Zahlung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