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Insolvenz-Schnittstelle – Mögliche Insolvenz des Schuldners</w:t>
      </w:r>
    </w:p>
    <w:p>
      <w:pPr>
        <w:ind w:left="567"/>
      </w:pPr>
      <w:r>
        <w:rPr>
          <w:b/>
          <w:i/>
        </w:rPr>
        <w:t>Aktenzeichen ZVG:</w:t>
      </w:r>
      <w:r>
        <w:rPr>
          <w:i/>
        </w:rPr>
        <w:t xml:space="preserve"> 76 L 88/26</w:t>
      </w:r>
    </w:p>
    <w:p>
      <w:pPr>
        <w:ind w:left="567"/>
      </w:pPr>
      <w:r>
        <w:rPr>
          <w:b/>
          <w:i/>
        </w:rPr>
        <w:t>Bearbeiterin:</w:t>
      </w:r>
      <w:r>
        <w:rPr>
          <w:i/>
        </w:rPr>
        <w:t xml:space="preserve"> Julia Renner, Zwangsverwalterin</w:t>
      </w:r>
    </w:p>
    <w:p>
      <w:pPr>
        <w:ind w:left="567"/>
      </w:pPr>
      <w:r>
        <w:rPr>
          <w:b/>
          <w:i/>
        </w:rPr>
        <w:t>Stand:</w:t>
      </w:r>
      <w:r>
        <w:rPr>
          <w:i/>
        </w:rPr>
        <w:t xml:space="preserve"> 31. Oktober 2026</w:t>
      </w:r>
    </w:p>
    <w:p/>
    <w:p>
      <w:pPr>
        <w:pStyle w:val="Heading2"/>
      </w:pPr>
      <w:r>
        <w:rPr>
          <w:rFonts w:ascii="Times New Roman" w:hAnsi="Times New Roman"/>
        </w:rPr>
        <w:t>1. Ausgangslage</w:t>
      </w:r>
    </w:p>
    <w:p>
      <w:pPr>
        <w:jc w:val="left"/>
      </w:pPr>
      <w:r>
        <w:t xml:space="preserve">Am </w:t>
      </w:r>
      <w:r>
        <w:rPr>
          <w:b/>
        </w:rPr>
        <w:t>20. Juni 2026</w:t>
      </w:r>
      <w:r>
        <w:t xml:space="preserve"> teilte Rechtsanwalt Dr. Norbert Krahl (Bevollmächtigter des Schuldners Markus Feldmann) per Schreiben mit, dass sein Mandant "die Eröffnung eines Insolvenzverfahrens ernsthaft in Betracht zieht". Eine Antragstellung sei noch nicht erfolgt. Eine Schuldnerberatungsstelle (namentlich nicht bekannt gemacht) sei einbezogen.</w:t>
      </w:r>
    </w:p>
    <w:p>
      <w:pPr>
        <w:jc w:val="left"/>
      </w:pPr>
      <w:r>
        <w:t xml:space="preserve">Die Zwangsverwalterin notierte dies und informierte das Vollstreckungsgericht am </w:t>
      </w:r>
      <w:r>
        <w:rPr>
          <w:b/>
        </w:rPr>
        <w:t>25.06.2026</w:t>
      </w:r>
      <w:r>
        <w:t xml:space="preserve"> (Kurzmitteilung per Fax, Az. 76 L 88/26). Eine formelle Eröffnungsentscheidung lag zu diesem Zeitpunkt nicht vor.</w:t>
      </w:r>
    </w:p>
    <w:p/>
    <w:p>
      <w:pPr>
        <w:pStyle w:val="Heading2"/>
      </w:pPr>
      <w:r>
        <w:rPr>
          <w:rFonts w:ascii="Times New Roman" w:hAnsi="Times New Roman"/>
        </w:rPr>
        <w:t>2. Rechtliche Ausgangsfrage: Auswirkung einer Insolvenz auf die Zwangsverwaltung</w:t>
      </w:r>
    </w:p>
    <w:p>
      <w:pPr>
        <w:pStyle w:val="Heading3"/>
      </w:pPr>
      <w:r>
        <w:rPr>
          <w:rFonts w:ascii="Times New Roman" w:hAnsi="Times New Roman"/>
        </w:rPr>
        <w:t>2.1 Grundregel (§ 80 Abs. 2 InsO / § 152 ZVG)</w:t>
      </w:r>
    </w:p>
    <w:p>
      <w:pPr>
        <w:jc w:val="left"/>
      </w:pPr>
      <w:r>
        <w:t xml:space="preserve">Die Eröffnung eines Insolvenzverfahrens über das Vermögen des Schuldners </w:t>
      </w:r>
      <w:r>
        <w:rPr>
          <w:b/>
        </w:rPr>
        <w:t>hebt die Zwangsverwaltung nicht automatisch auf</w:t>
      </w:r>
      <w:r>
        <w:t>. Vielmehr gilt:</w:t>
      </w:r>
    </w:p>
    <w:p>
      <w:pPr>
        <w:pStyle w:val="ListBullet"/>
      </w:pPr>
      <w:r>
        <w:t>Das Grundstück ist nach § 49 InsO Absonderungsgegenstand des Grundpfandgläubigers.</w:t>
      </w:r>
    </w:p>
    <w:p>
      <w:pPr>
        <w:pStyle w:val="ListBullet"/>
      </w:pPr>
      <w:r>
        <w:t>Die Zwangsverwaltung läuft nach § 21 Abs. 2 InsO grundsätzlich weiter, bis das Insolvenzgericht oder der Insolvenzverwalter eine andere Entscheidung trifft.</w:t>
      </w:r>
    </w:p>
    <w:p>
      <w:pPr>
        <w:pStyle w:val="ListBullet"/>
      </w:pPr>
      <w:r>
        <w:t>Der Insolvenzverwalter tritt in die Rechtsstellung des Schuldners ein (§ 80 InsO), kann aber die Verwaltung des Grundstücks an den Zwangsverwalter delegiert lassen.</w:t>
      </w:r>
    </w:p>
    <w:p>
      <w:pPr>
        <w:pStyle w:val="Heading3"/>
      </w:pPr>
      <w:r>
        <w:rPr>
          <w:rFonts w:ascii="Times New Roman" w:hAnsi="Times New Roman"/>
        </w:rPr>
        <w:t>2.2 Nutzungen des Grundstücks</w:t>
      </w:r>
    </w:p>
    <w:p>
      <w:pPr>
        <w:jc w:val="left"/>
      </w:pPr>
      <w:r>
        <w:t xml:space="preserve">Einnahmen aus der Zwangsverwaltung (Mieten) gehören </w:t>
      </w:r>
      <w:r>
        <w:rPr>
          <w:b/>
        </w:rPr>
        <w:t>nicht zur Insolvenzmasse</w:t>
      </w:r>
      <w:r>
        <w:t xml:space="preserve"> im weiteren Sinne, soweit sie auf die Befriedigung des absonderungsberechtigten Gläubigers (Sachsen Kreditbank AG) gerichtet sind (§ 49 InsO, § 165 InsO). Der Insolvenzverwalter kann jedoch nach § 165 InsO die Zwangsverwaltung "übernehmen" – dazu bedarf es einer ausdrücklichen Erklärung.</w:t>
      </w:r>
    </w:p>
    <w:p>
      <w:pPr>
        <w:pStyle w:val="Heading3"/>
      </w:pPr>
      <w:r>
        <w:rPr>
          <w:rFonts w:ascii="Times New Roman" w:hAnsi="Times New Roman"/>
        </w:rPr>
        <w:t>2.3 Schnittstelle Insolvenzverwalter und Zwangsverwalter</w:t>
      </w:r>
    </w:p>
    <w:p>
      <w:pPr>
        <w:jc w:val="left"/>
      </w:pPr>
      <w:r>
        <w:t>Im Fall der Eröffnung:</w:t>
      </w:r>
    </w:p>
    <w:p>
      <w:pPr>
        <w:pStyle w:val="ListBullet"/>
      </w:pPr>
      <w:r>
        <w:t>Zwangsverwalter: verwaltet weiter, sofern kein ausdrücklicher Übernahmebeschluss.</w:t>
      </w:r>
    </w:p>
    <w:p>
      <w:pPr>
        <w:pStyle w:val="ListBullet"/>
      </w:pPr>
      <w:r>
        <w:t>Insolvenzverwalter: übernimmt die Verwaltungsrechte am übrigen Vermögen; erhält Kopien der Berichte.</w:t>
      </w:r>
    </w:p>
    <w:p>
      <w:pPr>
        <w:pStyle w:val="ListBullet"/>
      </w:pPr>
      <w:r>
        <w:t>Masseverbindlichkeiten (z.B. Instandhaltungskosten ab Eröffnung): können nach § 55 Abs. 1 Nr. 1 InsO als Masseverbindlichkeit eingestuft werden, wenn der Insolvenzverwalter die Verwaltung übernimmt.</w:t>
      </w:r>
    </w:p>
    <w:p/>
    <w:p>
      <w:pPr>
        <w:pStyle w:val="Heading2"/>
      </w:pPr>
      <w:r>
        <w:rPr>
          <w:rFonts w:ascii="Times New Roman" w:hAnsi="Times New Roman"/>
        </w:rPr>
        <w:t>3. Ermittlung Insolvenzantrag und Verfahrensstand</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Vorgang</w:t>
            </w:r>
          </w:p>
        </w:tc>
      </w:tr>
      <w:tr>
        <w:tc>
          <w:tcPr>
            <w:tcW w:type="dxa" w:w="4536"/>
          </w:tcPr>
          <w:p>
            <w:r>
              <w:rPr>
                <w:rFonts w:ascii="Times New Roman" w:hAnsi="Times New Roman"/>
                <w:sz w:val="20"/>
              </w:rPr>
              <w:t>20.06.2026</w:t>
            </w:r>
          </w:p>
        </w:tc>
        <w:tc>
          <w:tcPr>
            <w:tcW w:type="dxa" w:w="4536"/>
          </w:tcPr>
          <w:p>
            <w:r>
              <w:rPr>
                <w:rFonts w:ascii="Times New Roman" w:hAnsi="Times New Roman"/>
                <w:sz w:val="20"/>
              </w:rPr>
              <w:t>Mitteilung RA Dr. Krahl: Insolvenzgedanke des Schuldners</w:t>
            </w:r>
          </w:p>
        </w:tc>
      </w:tr>
      <w:tr>
        <w:tc>
          <w:tcPr>
            <w:tcW w:type="dxa" w:w="4536"/>
          </w:tcPr>
          <w:p>
            <w:r>
              <w:rPr>
                <w:rFonts w:ascii="Times New Roman" w:hAnsi="Times New Roman"/>
                <w:sz w:val="20"/>
              </w:rPr>
              <w:t>25.06.2026</w:t>
            </w:r>
          </w:p>
        </w:tc>
        <w:tc>
          <w:tcPr>
            <w:tcW w:type="dxa" w:w="4536"/>
          </w:tcPr>
          <w:p>
            <w:r>
              <w:rPr>
                <w:rFonts w:ascii="Times New Roman" w:hAnsi="Times New Roman"/>
                <w:sz w:val="20"/>
              </w:rPr>
              <w:t>Weitergabe an AG Leipzig – Vollstreckungsgericht (Kurzmitteilung)</w:t>
            </w:r>
          </w:p>
        </w:tc>
      </w:tr>
      <w:tr>
        <w:tc>
          <w:tcPr>
            <w:tcW w:type="dxa" w:w="4536"/>
          </w:tcPr>
          <w:p>
            <w:r>
              <w:rPr>
                <w:rFonts w:ascii="Times New Roman" w:hAnsi="Times New Roman"/>
                <w:sz w:val="20"/>
              </w:rPr>
              <w:t>10.07.2026</w:t>
            </w:r>
          </w:p>
        </w:tc>
        <w:tc>
          <w:tcPr>
            <w:tcW w:type="dxa" w:w="4536"/>
          </w:tcPr>
          <w:p>
            <w:r>
              <w:rPr>
                <w:rFonts w:ascii="Times New Roman" w:hAnsi="Times New Roman"/>
                <w:sz w:val="20"/>
              </w:rPr>
              <w:t>Anfrage Zwangsverwalterin bei Insolvenzgericht AG Leipzig: liegt Antrag vor?</w:t>
            </w:r>
          </w:p>
        </w:tc>
      </w:tr>
      <w:tr>
        <w:tc>
          <w:tcPr>
            <w:tcW w:type="dxa" w:w="4536"/>
          </w:tcPr>
          <w:p>
            <w:r>
              <w:rPr>
                <w:rFonts w:ascii="Times New Roman" w:hAnsi="Times New Roman"/>
                <w:sz w:val="20"/>
              </w:rPr>
              <w:t>15.07.2026</w:t>
            </w:r>
          </w:p>
        </w:tc>
        <w:tc>
          <w:tcPr>
            <w:tcW w:type="dxa" w:w="4536"/>
          </w:tcPr>
          <w:p>
            <w:r>
              <w:rPr>
                <w:rFonts w:ascii="Times New Roman" w:hAnsi="Times New Roman"/>
                <w:sz w:val="20"/>
              </w:rPr>
              <w:t xml:space="preserve">Auskunft Insolvenzgericht AG Leipzig (Schriftlich): </w:t>
            </w:r>
            <w:r>
              <w:rPr>
                <w:rFonts w:ascii="Times New Roman" w:hAnsi="Times New Roman"/>
                <w:b/>
                <w:sz w:val="20"/>
              </w:rPr>
              <w:t>Kein Antrag eingegangen</w:t>
            </w:r>
          </w:p>
        </w:tc>
      </w:tr>
      <w:tr>
        <w:tc>
          <w:tcPr>
            <w:tcW w:type="dxa" w:w="4536"/>
          </w:tcPr>
          <w:p>
            <w:r>
              <w:rPr>
                <w:rFonts w:ascii="Times New Roman" w:hAnsi="Times New Roman"/>
                <w:sz w:val="20"/>
              </w:rPr>
              <w:t>01.09.2026</w:t>
            </w:r>
          </w:p>
        </w:tc>
        <w:tc>
          <w:tcPr>
            <w:tcW w:type="dxa" w:w="4536"/>
          </w:tcPr>
          <w:p>
            <w:r>
              <w:rPr>
                <w:rFonts w:ascii="Times New Roman" w:hAnsi="Times New Roman"/>
                <w:sz w:val="20"/>
              </w:rPr>
              <w:t>Neuerliche Anfrage: immer noch kein Antrag (telefonische Auskunft)</w:t>
            </w:r>
          </w:p>
        </w:tc>
      </w:tr>
      <w:tr>
        <w:tc>
          <w:tcPr>
            <w:tcW w:type="dxa" w:w="4536"/>
          </w:tcPr>
          <w:p>
            <w:r>
              <w:rPr>
                <w:rFonts w:ascii="Times New Roman" w:hAnsi="Times New Roman"/>
                <w:sz w:val="20"/>
              </w:rPr>
              <w:t>15.10.2026</w:t>
            </w:r>
          </w:p>
        </w:tc>
        <w:tc>
          <w:tcPr>
            <w:tcW w:type="dxa" w:w="4536"/>
          </w:tcPr>
          <w:p>
            <w:r>
              <w:rPr>
                <w:rFonts w:ascii="Times New Roman" w:hAnsi="Times New Roman"/>
                <w:sz w:val="20"/>
              </w:rPr>
              <w:t>Neuerliche Anfrage: immer noch kein Antrag</w:t>
            </w:r>
          </w:p>
        </w:tc>
      </w:tr>
      <w:tr>
        <w:tc>
          <w:tcPr>
            <w:tcW w:type="dxa" w:w="4536"/>
          </w:tcPr>
          <w:p>
            <w:r>
              <w:rPr>
                <w:rFonts w:ascii="Times New Roman" w:hAnsi="Times New Roman"/>
                <w:sz w:val="20"/>
              </w:rPr>
              <w:t>31.10.2026</w:t>
            </w:r>
          </w:p>
        </w:tc>
        <w:tc>
          <w:tcPr>
            <w:tcW w:type="dxa" w:w="4536"/>
          </w:tcPr>
          <w:p>
            <w:r>
              <w:rPr>
                <w:rFonts w:ascii="Times New Roman" w:hAnsi="Times New Roman"/>
                <w:b/>
                <w:sz w:val="20"/>
              </w:rPr>
              <w:t>Stand:</w:t>
            </w:r>
            <w:r>
              <w:rPr>
                <w:rFonts w:ascii="Times New Roman" w:hAnsi="Times New Roman"/>
                <w:sz w:val="20"/>
              </w:rPr>
              <w:t xml:space="preserve"> Insolvenzverfahren ist nicht eröffnet; Ankündigung hat sich bisher nicht realisiert</w:t>
            </w:r>
          </w:p>
        </w:tc>
      </w:tr>
    </w:tbl>
    <w:p/>
    <w:p>
      <w:pPr>
        <w:pStyle w:val="Heading2"/>
      </w:pPr>
      <w:r>
        <w:rPr>
          <w:rFonts w:ascii="Times New Roman" w:hAnsi="Times New Roman"/>
        </w:rPr>
        <w:t>4. Maßnahmen und Vorkehrungen</w:t>
      </w:r>
    </w:p>
    <w:p>
      <w:pPr>
        <w:pStyle w:val="Heading3"/>
      </w:pPr>
      <w:r>
        <w:rPr>
          <w:rFonts w:ascii="Times New Roman" w:hAnsi="Times New Roman"/>
        </w:rPr>
        <w:t>4.1 Monitoring</w:t>
      </w:r>
    </w:p>
    <w:p>
      <w:pPr>
        <w:jc w:val="left"/>
      </w:pPr>
      <w:r>
        <w:t>Die Zwangsverwalterin hat eine regelmäßige (monatliche) Abfrage beim AG Leipzig – Insolvenzgericht – eingerichtet, um sofort von einer eventuellen Antragstellung zu erfahren. Das Vollstreckungsgericht wurde gebeten, bei Eingang einer Insolvenzbenachrichtigung sofort zu informieren.</w:t>
      </w:r>
    </w:p>
    <w:p>
      <w:pPr>
        <w:pStyle w:val="Heading3"/>
      </w:pPr>
      <w:r>
        <w:rPr>
          <w:rFonts w:ascii="Times New Roman" w:hAnsi="Times New Roman"/>
        </w:rPr>
        <w:t>4.2 Vorsorgeplan für den Eröffnungsfall</w:t>
      </w:r>
    </w:p>
    <w:p>
      <w:pPr>
        <w:jc w:val="left"/>
      </w:pPr>
      <w:r>
        <w:t>Für den Fall der Eröffnung eines Insolvenzverfahrens hat die Zwangsverwalterin folgende Sofortmaßnahmen vorbereitet:</w:t>
      </w:r>
    </w:p>
    <w:p>
      <w:pPr>
        <w:pStyle w:val="ListNumber"/>
      </w:pPr>
      <w:r>
        <w:rPr>
          <w:b/>
        </w:rPr>
        <w:t>Kontaktaufnahme mit Insolvenzverwalter</w:t>
      </w:r>
      <w:r>
        <w:t xml:space="preserve"> innerhalb von 24 Stunden nach Kenntnis der Eröffnung.</w:t>
      </w:r>
    </w:p>
    <w:p>
      <w:pPr>
        <w:pStyle w:val="ListNumber"/>
      </w:pPr>
      <w:r>
        <w:rPr>
          <w:b/>
        </w:rPr>
        <w:t>Übergabe der Verfahrensunterlagen</w:t>
      </w:r>
      <w:r>
        <w:t xml:space="preserve"> (Mietverträge, Kassenbuch, Betriebskostenabrechnungen) an den Insolvenzverwalter soweit erforderlich.</w:t>
      </w:r>
    </w:p>
    <w:p>
      <w:pPr>
        <w:pStyle w:val="ListNumber"/>
      </w:pPr>
      <w:r>
        <w:rPr>
          <w:b/>
        </w:rPr>
        <w:t>Abstimmung über Fortführung</w:t>
      </w:r>
      <w:r>
        <w:t xml:space="preserve"> der Zwangsverwaltung: Die Zwangsverwalterin wird dem Insolvenzverwalter anbieten, das Verfahren unverändert fortzuführen und die Nutzungen weiterhin für die SaKB einzuziehen.</w:t>
      </w:r>
    </w:p>
    <w:p>
      <w:pPr>
        <w:pStyle w:val="ListNumber"/>
      </w:pPr>
      <w:r>
        <w:rPr>
          <w:b/>
        </w:rPr>
        <w:t>Information an Vollstreckungsgericht</w:t>
      </w:r>
      <w:r>
        <w:t xml:space="preserve"> und Sachsen Kreditbank AG.</w:t>
      </w:r>
    </w:p>
    <w:p>
      <w:pPr>
        <w:pStyle w:val="ListNumber"/>
      </w:pPr>
      <w:r>
        <w:rPr>
          <w:b/>
        </w:rPr>
        <w:t>Mieterkommunikation:</w:t>
      </w:r>
      <w:r>
        <w:t xml:space="preserve"> Die Mieter brauchen in der Regel nicht separat benachrichtigt zu werden, da die Treuhandkonto-Verbindung unverändert bleibt.</w:t>
      </w:r>
    </w:p>
    <w:p>
      <w:pPr>
        <w:pStyle w:val="Heading3"/>
      </w:pPr>
      <w:r>
        <w:rPr>
          <w:rFonts w:ascii="Times New Roman" w:hAnsi="Times New Roman"/>
        </w:rPr>
        <w:t>4.3 Offene Fragen bei Eröffnung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Frage</w:t>
            </w:r>
          </w:p>
        </w:tc>
        <w:tc>
          <w:tcPr>
            <w:tcW w:type="dxa" w:w="3024"/>
          </w:tcPr>
          <w:p>
            <w:r>
              <w:rPr>
                <w:rFonts w:ascii="Times New Roman" w:hAnsi="Times New Roman"/>
                <w:b/>
                <w:sz w:val="20"/>
              </w:rPr>
              <w:t>Rechtliche Grundlage</w:t>
            </w:r>
          </w:p>
        </w:tc>
        <w:tc>
          <w:tcPr>
            <w:tcW w:type="dxa" w:w="3024"/>
          </w:tcPr>
          <w:p>
            <w:r>
              <w:rPr>
                <w:rFonts w:ascii="Times New Roman" w:hAnsi="Times New Roman"/>
                <w:b/>
                <w:sz w:val="20"/>
              </w:rPr>
              <w:t>Einschätzung</w:t>
            </w:r>
          </w:p>
        </w:tc>
      </w:tr>
      <w:tr>
        <w:tc>
          <w:tcPr>
            <w:tcW w:type="dxa" w:w="3024"/>
          </w:tcPr>
          <w:p>
            <w:r>
              <w:rPr>
                <w:rFonts w:ascii="Times New Roman" w:hAnsi="Times New Roman"/>
                <w:sz w:val="20"/>
              </w:rPr>
              <w:t>Wer ist zuständig für Instandhaltungskosten nach Eröffnung?</w:t>
            </w:r>
          </w:p>
        </w:tc>
        <w:tc>
          <w:tcPr>
            <w:tcW w:type="dxa" w:w="3024"/>
          </w:tcPr>
          <w:p>
            <w:r>
              <w:rPr>
                <w:rFonts w:ascii="Times New Roman" w:hAnsi="Times New Roman"/>
                <w:sz w:val="20"/>
              </w:rPr>
              <w:t>§ 55 InsO</w:t>
            </w:r>
          </w:p>
        </w:tc>
        <w:tc>
          <w:tcPr>
            <w:tcW w:type="dxa" w:w="3024"/>
          </w:tcPr>
          <w:p>
            <w:r>
              <w:rPr>
                <w:rFonts w:ascii="Times New Roman" w:hAnsi="Times New Roman"/>
                <w:sz w:val="20"/>
              </w:rPr>
              <w:t>Insolvenzverwalter, falls er Verwaltung übernimmt</w:t>
            </w:r>
          </w:p>
        </w:tc>
      </w:tr>
      <w:tr>
        <w:tc>
          <w:tcPr>
            <w:tcW w:type="dxa" w:w="3024"/>
          </w:tcPr>
          <w:p>
            <w:r>
              <w:rPr>
                <w:rFonts w:ascii="Times New Roman" w:hAnsi="Times New Roman"/>
                <w:sz w:val="20"/>
              </w:rPr>
              <w:t>Kann Insolvenzverwalter Mietverträge kündigen?</w:t>
            </w:r>
          </w:p>
        </w:tc>
        <w:tc>
          <w:tcPr>
            <w:tcW w:type="dxa" w:w="3024"/>
          </w:tcPr>
          <w:p>
            <w:r>
              <w:rPr>
                <w:rFonts w:ascii="Times New Roman" w:hAnsi="Times New Roman"/>
                <w:sz w:val="20"/>
              </w:rPr>
              <w:t>§ 109 InsO</w:t>
            </w:r>
          </w:p>
        </w:tc>
        <w:tc>
          <w:tcPr>
            <w:tcW w:type="dxa" w:w="3024"/>
          </w:tcPr>
          <w:p>
            <w:r>
              <w:rPr>
                <w:rFonts w:ascii="Times New Roman" w:hAnsi="Times New Roman"/>
                <w:sz w:val="20"/>
              </w:rPr>
              <w:t>Ja, bei Übernahme, aber nicht ohne Weiteres</w:t>
            </w:r>
          </w:p>
        </w:tc>
      </w:tr>
      <w:tr>
        <w:tc>
          <w:tcPr>
            <w:tcW w:type="dxa" w:w="3024"/>
          </w:tcPr>
          <w:p>
            <w:r>
              <w:rPr>
                <w:rFonts w:ascii="Times New Roman" w:hAnsi="Times New Roman"/>
                <w:sz w:val="20"/>
              </w:rPr>
              <w:t>Sind aufgelaufene Mietrückstände Insolvenzforderungen?</w:t>
            </w:r>
          </w:p>
        </w:tc>
        <w:tc>
          <w:tcPr>
            <w:tcW w:type="dxa" w:w="3024"/>
          </w:tcPr>
          <w:p>
            <w:r>
              <w:rPr>
                <w:rFonts w:ascii="Times New Roman" w:hAnsi="Times New Roman"/>
                <w:sz w:val="20"/>
              </w:rPr>
              <w:t>§ 38 InsO</w:t>
            </w:r>
          </w:p>
        </w:tc>
        <w:tc>
          <w:tcPr>
            <w:tcW w:type="dxa" w:w="3024"/>
          </w:tcPr>
          <w:p>
            <w:r>
              <w:rPr>
                <w:rFonts w:ascii="Times New Roman" w:hAnsi="Times New Roman"/>
                <w:sz w:val="20"/>
              </w:rPr>
              <w:t>Ja, für Rückstände vor Eröffnung</w:t>
            </w:r>
          </w:p>
        </w:tc>
      </w:tr>
      <w:tr>
        <w:tc>
          <w:tcPr>
            <w:tcW w:type="dxa" w:w="3024"/>
          </w:tcPr>
          <w:p>
            <w:r>
              <w:rPr>
                <w:rFonts w:ascii="Times New Roman" w:hAnsi="Times New Roman"/>
                <w:sz w:val="20"/>
              </w:rPr>
              <w:t>Wie ist Vergütung der Zwangsverwalterin geschützt?</w:t>
            </w:r>
          </w:p>
        </w:tc>
        <w:tc>
          <w:tcPr>
            <w:tcW w:type="dxa" w:w="3024"/>
          </w:tcPr>
          <w:p>
            <w:r>
              <w:rPr>
                <w:rFonts w:ascii="Times New Roman" w:hAnsi="Times New Roman"/>
                <w:sz w:val="20"/>
              </w:rPr>
              <w:t>§ 13 ZwVwV, § 151 ZVG</w:t>
            </w:r>
          </w:p>
        </w:tc>
        <w:tc>
          <w:tcPr>
            <w:tcW w:type="dxa" w:w="3024"/>
          </w:tcPr>
          <w:p>
            <w:r>
              <w:rPr>
                <w:rFonts w:ascii="Times New Roman" w:hAnsi="Times New Roman"/>
                <w:sz w:val="20"/>
              </w:rPr>
              <w:t>Vorrangige Verfahrenskosten</w:t>
            </w:r>
          </w:p>
        </w:tc>
      </w:tr>
    </w:tbl>
    <w:p/>
    <w:p>
      <w:pPr>
        <w:pStyle w:val="Heading2"/>
      </w:pPr>
      <w:r>
        <w:rPr>
          <w:rFonts w:ascii="Times New Roman" w:hAnsi="Times New Roman"/>
        </w:rPr>
        <w:t>5. Auswirkungen auf laufende Streitigkeiten</w:t>
      </w:r>
    </w:p>
    <w:p>
      <w:pPr>
        <w:pStyle w:val="Heading3"/>
      </w:pPr>
      <w:r>
        <w:rPr>
          <w:rFonts w:ascii="Times New Roman" w:hAnsi="Times New Roman"/>
        </w:rPr>
        <w:t>5.1 WE02 – Matuschek (Rückstand Alt)</w:t>
      </w:r>
    </w:p>
    <w:p>
      <w:pPr>
        <w:jc w:val="left"/>
      </w:pPr>
      <w:r>
        <w:t>Rückstand aus Schuldner-Zeit (April 2026 und früher, ca. 1.790,00 EUR): Sollte ein Insolvenzverfahren eröffnet werden, wäre dieser Rückstand als Insolvenzforderung anzumelden – nicht mehr über die Zwangsverwaltung beitreibbar. Für den laufenden Betrieb der Zwangsverwaltung nicht relevant.</w:t>
      </w:r>
    </w:p>
    <w:p>
      <w:pPr>
        <w:pStyle w:val="Heading3"/>
      </w:pPr>
      <w:r>
        <w:rPr>
          <w:rFonts w:ascii="Times New Roman" w:hAnsi="Times New Roman"/>
        </w:rPr>
        <w:t>5.2 GE01 – Bäckerei Kranz</w:t>
      </w:r>
    </w:p>
    <w:p>
      <w:pPr>
        <w:jc w:val="left"/>
      </w:pPr>
      <w:r>
        <w:t>Vergleichsvereinbarung vom 28.07.2026 ist wirksam. Die Ratenzahlungen laufen. Eine Insolvenz des Schuldners hat keine Auswirkungen auf den Mietvertrag der Bäckerei Kranz, da Mietvertragspartei der Schuldner als Vermieter ist – und die Zwangsverwaltung dessen Vermieterstellung ausübt.</w:t>
      </w:r>
    </w:p>
    <w:p>
      <w:pPr>
        <w:pStyle w:val="Heading3"/>
      </w:pPr>
      <w:r>
        <w:rPr>
          <w:rFonts w:ascii="Times New Roman" w:hAnsi="Times New Roman"/>
        </w:rPr>
        <w:t>5.3 Einrede des Schuldners gegen Pfandrecht</w:t>
      </w:r>
    </w:p>
    <w:p>
      <w:pPr>
        <w:jc w:val="left"/>
      </w:pPr>
      <w:r>
        <w:t>RA Dr. Krahl hat im August 2026 angekündigt, den Anordnungsbeschluss wegen "formeller Mängel" anzugreifen. Details nicht mitgeteilt. Die Zwangsverwalterin sieht keinen begründeten Ansatz; der Beschluss ist rechtskräftig.</w:t>
      </w:r>
    </w:p>
    <w:p/>
    <w:p>
      <w:pPr>
        <w:pStyle w:val="Heading2"/>
      </w:pPr>
      <w:r>
        <w:rPr>
          <w:rFonts w:ascii="Times New Roman" w:hAnsi="Times New Roman"/>
        </w:rPr>
        <w:t>6. Kommunikation mit dem Vollstreckungsgericht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Datum</w:t>
            </w:r>
          </w:p>
        </w:tc>
        <w:tc>
          <w:tcPr>
            <w:tcW w:type="dxa" w:w="3024"/>
          </w:tcPr>
          <w:p>
            <w:r>
              <w:rPr>
                <w:rFonts w:ascii="Times New Roman" w:hAnsi="Times New Roman"/>
                <w:b/>
                <w:sz w:val="20"/>
              </w:rPr>
              <w:t>Mitteilung</w:t>
            </w:r>
          </w:p>
        </w:tc>
        <w:tc>
          <w:tcPr>
            <w:tcW w:type="dxa" w:w="3024"/>
          </w:tcPr>
          <w:p>
            <w:r>
              <w:rPr>
                <w:rFonts w:ascii="Times New Roman" w:hAnsi="Times New Roman"/>
                <w:b/>
                <w:sz w:val="20"/>
              </w:rPr>
              <w:t>Reaktion AG</w:t>
            </w:r>
          </w:p>
        </w:tc>
      </w:tr>
      <w:tr>
        <w:tc>
          <w:tcPr>
            <w:tcW w:type="dxa" w:w="3024"/>
          </w:tcPr>
          <w:p>
            <w:r>
              <w:rPr>
                <w:rFonts w:ascii="Times New Roman" w:hAnsi="Times New Roman"/>
                <w:sz w:val="20"/>
              </w:rPr>
              <w:t>25.06.2026</w:t>
            </w:r>
          </w:p>
        </w:tc>
        <w:tc>
          <w:tcPr>
            <w:tcW w:type="dxa" w:w="3024"/>
          </w:tcPr>
          <w:p>
            <w:r>
              <w:rPr>
                <w:rFonts w:ascii="Times New Roman" w:hAnsi="Times New Roman"/>
                <w:sz w:val="20"/>
              </w:rPr>
              <w:t>Kurzmitteilung Insolvenzgedanke</w:t>
            </w:r>
          </w:p>
        </w:tc>
        <w:tc>
          <w:tcPr>
            <w:tcW w:type="dxa" w:w="3024"/>
          </w:tcPr>
          <w:p>
            <w:r>
              <w:rPr>
                <w:rFonts w:ascii="Times New Roman" w:hAnsi="Times New Roman"/>
                <w:sz w:val="20"/>
              </w:rPr>
              <w:t>"Zur Kenntnis genommen, bitte weiter beobachten"</w:t>
            </w:r>
          </w:p>
        </w:tc>
      </w:tr>
      <w:tr>
        <w:tc>
          <w:tcPr>
            <w:tcW w:type="dxa" w:w="3024"/>
          </w:tcPr>
          <w:p>
            <w:r>
              <w:rPr>
                <w:rFonts w:ascii="Times New Roman" w:hAnsi="Times New Roman"/>
                <w:sz w:val="20"/>
              </w:rPr>
              <w:t>10.07.2026</w:t>
            </w:r>
          </w:p>
        </w:tc>
        <w:tc>
          <w:tcPr>
            <w:tcW w:type="dxa" w:w="3024"/>
          </w:tcPr>
          <w:p>
            <w:r>
              <w:rPr>
                <w:rFonts w:ascii="Times New Roman" w:hAnsi="Times New Roman"/>
                <w:sz w:val="20"/>
              </w:rPr>
              <w:t>Anfrage Status Insolvenzgericht</w:t>
            </w:r>
          </w:p>
        </w:tc>
        <w:tc>
          <w:tcPr>
            <w:tcW w:type="dxa" w:w="3024"/>
          </w:tcPr>
          <w:p>
            <w:r>
              <w:rPr>
                <w:rFonts w:ascii="Times New Roman" w:hAnsi="Times New Roman"/>
                <w:sz w:val="20"/>
              </w:rPr>
              <w:t>—</w:t>
            </w:r>
          </w:p>
        </w:tc>
      </w:tr>
      <w:tr>
        <w:tc>
          <w:tcPr>
            <w:tcW w:type="dxa" w:w="3024"/>
          </w:tcPr>
          <w:p>
            <w:r>
              <w:rPr>
                <w:rFonts w:ascii="Times New Roman" w:hAnsi="Times New Roman"/>
                <w:sz w:val="20"/>
              </w:rPr>
              <w:t>Monatsbericht Aug. 2026</w:t>
            </w:r>
          </w:p>
        </w:tc>
        <w:tc>
          <w:tcPr>
            <w:tcW w:type="dxa" w:w="3024"/>
          </w:tcPr>
          <w:p>
            <w:r>
              <w:rPr>
                <w:rFonts w:ascii="Times New Roman" w:hAnsi="Times New Roman"/>
                <w:sz w:val="20"/>
              </w:rPr>
              <w:t>Kurzvermerk: noch kein Antrag</w:t>
            </w:r>
          </w:p>
        </w:tc>
        <w:tc>
          <w:tcPr>
            <w:tcW w:type="dxa" w:w="3024"/>
          </w:tcPr>
          <w:p>
            <w:r>
              <w:rPr>
                <w:rFonts w:ascii="Times New Roman" w:hAnsi="Times New Roman"/>
                <w:sz w:val="20"/>
              </w:rPr>
              <w:t>—</w:t>
            </w:r>
          </w:p>
        </w:tc>
      </w:tr>
      <w:tr>
        <w:tc>
          <w:tcPr>
            <w:tcW w:type="dxa" w:w="3024"/>
          </w:tcPr>
          <w:p>
            <w:r>
              <w:rPr>
                <w:rFonts w:ascii="Times New Roman" w:hAnsi="Times New Roman"/>
                <w:sz w:val="20"/>
              </w:rPr>
              <w:t>Monatsbericht Sep. 2026</w:t>
            </w:r>
          </w:p>
        </w:tc>
        <w:tc>
          <w:tcPr>
            <w:tcW w:type="dxa" w:w="3024"/>
          </w:tcPr>
          <w:p>
            <w:r>
              <w:rPr>
                <w:rFonts w:ascii="Times New Roman" w:hAnsi="Times New Roman"/>
                <w:sz w:val="20"/>
              </w:rPr>
              <w:t>Kurzvermerk: noch kein Antrag</w:t>
            </w:r>
          </w:p>
        </w:tc>
        <w:tc>
          <w:tcPr>
            <w:tcW w:type="dxa" w:w="3024"/>
          </w:tcPr>
          <w:p>
            <w:r>
              <w:rPr>
                <w:rFonts w:ascii="Times New Roman" w:hAnsi="Times New Roman"/>
                <w:sz w:val="20"/>
              </w:rPr>
              <w:t>—</w:t>
            </w:r>
          </w:p>
        </w:tc>
      </w:tr>
      <w:tr>
        <w:tc>
          <w:tcPr>
            <w:tcW w:type="dxa" w:w="3024"/>
          </w:tcPr>
          <w:p>
            <w:r>
              <w:rPr>
                <w:rFonts w:ascii="Times New Roman" w:hAnsi="Times New Roman"/>
                <w:sz w:val="20"/>
              </w:rPr>
              <w:t>Monatsbericht Okt. 2026</w:t>
            </w:r>
          </w:p>
        </w:tc>
        <w:tc>
          <w:tcPr>
            <w:tcW w:type="dxa" w:w="3024"/>
          </w:tcPr>
          <w:p>
            <w:r>
              <w:rPr>
                <w:rFonts w:ascii="Times New Roman" w:hAnsi="Times New Roman"/>
                <w:sz w:val="20"/>
              </w:rPr>
              <w:t>Kurzvermerk: noch kein Antrag</w:t>
            </w:r>
          </w:p>
        </w:tc>
        <w:tc>
          <w:tcPr>
            <w:tcW w:type="dxa" w:w="3024"/>
          </w:tcPr>
          <w:p>
            <w:r>
              <w:rPr>
                <w:rFonts w:ascii="Times New Roman" w:hAnsi="Times New Roman"/>
                <w:sz w:val="20"/>
              </w:rPr>
              <w:t>—</w:t>
            </w:r>
          </w:p>
        </w:tc>
      </w:tr>
    </w:tbl>
    <w:p/>
    <w:p>
      <w:pPr>
        <w:pStyle w:val="Heading2"/>
      </w:pPr>
      <w:r>
        <w:rPr>
          <w:rFonts w:ascii="Times New Roman" w:hAnsi="Times New Roman"/>
        </w:rPr>
        <w:t>7. Aktueller Stand (31.10.2026)</w:t>
      </w:r>
    </w:p>
    <w:p>
      <w:pPr>
        <w:jc w:val="left"/>
      </w:pPr>
      <w:r>
        <w:t xml:space="preserve">Das Insolvenzverfahren ist </w:t>
      </w:r>
      <w:r>
        <w:rPr>
          <w:b/>
        </w:rPr>
        <w:t>nicht eröffnet</w:t>
      </w:r>
      <w:r>
        <w:t>. Die angekündigte Antragstellung ist bisher ausgeblieben. Die Zwangsverwaltung läuft unverändert weiter. Die Sachsen Kreditbank AG wurde über die Situation informiert und sieht keine Veranlassung zu gesonderten Schritten.</w:t>
      </w:r>
    </w:p>
    <w:p>
      <w:pPr>
        <w:jc w:val="left"/>
      </w:pPr>
      <w:r>
        <w:t>Nächste Überprüfung: 30.11.2026.</w:t>
      </w:r>
    </w:p>
    <w:p/>
    <w:p>
      <w:pPr>
        <w:jc w:val="left"/>
      </w:pPr>
      <w:r>
        <w:rPr>
          <w:b/>
        </w:rPr>
        <w:t>Anlagen:</w:t>
      </w:r>
    </w:p>
    <w:p>
      <w:pPr>
        <w:pStyle w:val="ListBullet"/>
      </w:pPr>
      <w:r>
        <w:t>Anlage A: Schreiben RA Dr. Krahl vom 20.06.2026</w:t>
      </w:r>
    </w:p>
    <w:p>
      <w:pPr>
        <w:pStyle w:val="ListBullet"/>
      </w:pPr>
      <w:r>
        <w:t>Anlage B: Kurzmitteilung an AG Leipzig vom 25.06.2026</w:t>
      </w:r>
    </w:p>
    <w:p>
      <w:pPr>
        <w:pStyle w:val="ListBullet"/>
      </w:pPr>
      <w:r>
        <w:t>Anlage C: Auskünfte Insolvenzgericht AG Leipzig (Juli, September, Oktober 2026)</w:t>
      </w:r>
    </w:p>
    <w:p>
      <w:pPr>
        <w:pStyle w:val="ListBullet"/>
      </w:pPr>
      <w:r>
        <w:t>Anlage D: Interner Vorsorgeplan Insolvenzfall (2 Seiten)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