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Verkehrswertgutachten - Kurzfassung</w:t>
      </w:r>
    </w:p>
    <w:p>
      <w:pPr>
        <w:jc w:val="left"/>
      </w:pPr>
      <w:r>
        <w:rPr>
          <w:b/>
        </w:rPr>
        <w:t>Aktenzeichen:</w:t>
      </w:r>
      <w:r>
        <w:t xml:space="preserve"> 71 K 18/26</w:t>
      </w:r>
    </w:p>
    <w:p>
      <w:pPr>
        <w:jc w:val="left"/>
      </w:pPr>
      <w:r>
        <w:rPr>
          <w:b/>
        </w:rPr>
        <w:t>Gutachtennummer:</w:t>
      </w:r>
      <w:r>
        <w:t xml:space="preserve"> 2026-HH-117</w:t>
      </w:r>
    </w:p>
    <w:p>
      <w:pPr>
        <w:jc w:val="left"/>
      </w:pPr>
      <w:r>
        <w:rPr>
          <w:b/>
        </w:rPr>
        <w:t>Wertermittlungsstichtag:</w:t>
      </w:r>
      <w:r>
        <w:t xml:space="preserve"> 28.04.2026</w:t>
      </w:r>
    </w:p>
    <w:p>
      <w:pPr>
        <w:jc w:val="left"/>
      </w:pPr>
      <w:r>
        <w:rPr>
          <w:b/>
        </w:rPr>
        <w:t>Objekt:</w:t>
      </w:r>
      <w:r>
        <w:t xml:space="preserve"> Wohnungseigentum Nr. 9, Eppendorfer Mühlenbogen 16 / Heilwigbogen 4, 20249 Hamburg</w:t>
      </w:r>
    </w:p>
    <w:p>
      <w:pPr>
        <w:jc w:val="left"/>
      </w:pPr>
      <w:r>
        <w:rPr>
          <w:b/>
        </w:rPr>
        <w:t>Verkehrswert:</w:t>
      </w:r>
      <w:r>
        <w:t xml:space="preserve"> 685.000,00 EUR</w:t>
      </w:r>
    </w:p>
    <w:p>
      <w:pPr>
        <w:pStyle w:val="Heading2"/>
      </w:pPr>
      <w:r>
        <w:rPr>
          <w:rFonts w:ascii="Times New Roman" w:hAnsi="Times New Roman"/>
        </w:rPr>
        <w:t>Bewertungsobjekt</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Merkmal</w:t>
            </w:r>
          </w:p>
        </w:tc>
        <w:tc>
          <w:tcPr>
            <w:tcW w:type="dxa" w:w="4536"/>
          </w:tcPr>
          <w:p>
            <w:r>
              <w:rPr>
                <w:rFonts w:ascii="Times New Roman" w:hAnsi="Times New Roman"/>
                <w:b/>
                <w:sz w:val="20"/>
              </w:rPr>
              <w:t>Befund</w:t>
            </w:r>
          </w:p>
        </w:tc>
      </w:tr>
      <w:tr>
        <w:tc>
          <w:tcPr>
            <w:tcW w:type="dxa" w:w="4536"/>
          </w:tcPr>
          <w:p>
            <w:r>
              <w:rPr>
                <w:rFonts w:ascii="Times New Roman" w:hAnsi="Times New Roman"/>
                <w:sz w:val="20"/>
              </w:rPr>
              <w:t>Objektart</w:t>
            </w:r>
          </w:p>
        </w:tc>
        <w:tc>
          <w:tcPr>
            <w:tcW w:type="dxa" w:w="4536"/>
          </w:tcPr>
          <w:p>
            <w:r>
              <w:rPr>
                <w:rFonts w:ascii="Times New Roman" w:hAnsi="Times New Roman"/>
                <w:sz w:val="20"/>
              </w:rPr>
              <w:t>Wohnungseigentum</w:t>
            </w:r>
          </w:p>
        </w:tc>
      </w:tr>
      <w:tr>
        <w:tc>
          <w:tcPr>
            <w:tcW w:type="dxa" w:w="4536"/>
          </w:tcPr>
          <w:p>
            <w:r>
              <w:rPr>
                <w:rFonts w:ascii="Times New Roman" w:hAnsi="Times New Roman"/>
                <w:sz w:val="20"/>
              </w:rPr>
              <w:t>Miteigentumsanteil</w:t>
            </w:r>
          </w:p>
        </w:tc>
        <w:tc>
          <w:tcPr>
            <w:tcW w:type="dxa" w:w="4536"/>
          </w:tcPr>
          <w:p>
            <w:r>
              <w:rPr>
                <w:rFonts w:ascii="Times New Roman" w:hAnsi="Times New Roman"/>
                <w:sz w:val="20"/>
              </w:rPr>
              <w:t>39,20/1.000</w:t>
            </w:r>
          </w:p>
        </w:tc>
      </w:tr>
      <w:tr>
        <w:tc>
          <w:tcPr>
            <w:tcW w:type="dxa" w:w="4536"/>
          </w:tcPr>
          <w:p>
            <w:r>
              <w:rPr>
                <w:rFonts w:ascii="Times New Roman" w:hAnsi="Times New Roman"/>
                <w:sz w:val="20"/>
              </w:rPr>
              <w:t>Gebäude</w:t>
            </w:r>
          </w:p>
        </w:tc>
        <w:tc>
          <w:tcPr>
            <w:tcW w:type="dxa" w:w="4536"/>
          </w:tcPr>
          <w:p>
            <w:r>
              <w:rPr>
                <w:rFonts w:ascii="Times New Roman" w:hAnsi="Times New Roman"/>
                <w:sz w:val="20"/>
              </w:rPr>
              <w:t>Altbau-Mehrfamilienhaus, Vorderhaus mit Seitenflügel</w:t>
            </w:r>
          </w:p>
        </w:tc>
      </w:tr>
      <w:tr>
        <w:tc>
          <w:tcPr>
            <w:tcW w:type="dxa" w:w="4536"/>
          </w:tcPr>
          <w:p>
            <w:r>
              <w:rPr>
                <w:rFonts w:ascii="Times New Roman" w:hAnsi="Times New Roman"/>
                <w:sz w:val="20"/>
              </w:rPr>
              <w:t>Baujahr</w:t>
            </w:r>
          </w:p>
        </w:tc>
        <w:tc>
          <w:tcPr>
            <w:tcW w:type="dxa" w:w="4536"/>
          </w:tcPr>
          <w:p>
            <w:r>
              <w:rPr>
                <w:rFonts w:ascii="Times New Roman" w:hAnsi="Times New Roman"/>
                <w:sz w:val="20"/>
              </w:rPr>
              <w:t>um 1890, Dachgeschossausbau um 1994</w:t>
            </w:r>
          </w:p>
        </w:tc>
      </w:tr>
      <w:tr>
        <w:tc>
          <w:tcPr>
            <w:tcW w:type="dxa" w:w="4536"/>
          </w:tcPr>
          <w:p>
            <w:r>
              <w:rPr>
                <w:rFonts w:ascii="Times New Roman" w:hAnsi="Times New Roman"/>
                <w:sz w:val="20"/>
              </w:rPr>
              <w:t>Lage</w:t>
            </w:r>
          </w:p>
        </w:tc>
        <w:tc>
          <w:tcPr>
            <w:tcW w:type="dxa" w:w="4536"/>
          </w:tcPr>
          <w:p>
            <w:r>
              <w:rPr>
                <w:rFonts w:ascii="Times New Roman" w:hAnsi="Times New Roman"/>
                <w:sz w:val="20"/>
              </w:rPr>
              <w:t>Hamburg-Eppendorf, gewachsene innerstädtische Wohnlage</w:t>
            </w:r>
          </w:p>
        </w:tc>
      </w:tr>
      <w:tr>
        <w:tc>
          <w:tcPr>
            <w:tcW w:type="dxa" w:w="4536"/>
          </w:tcPr>
          <w:p>
            <w:r>
              <w:rPr>
                <w:rFonts w:ascii="Times New Roman" w:hAnsi="Times New Roman"/>
                <w:sz w:val="20"/>
              </w:rPr>
              <w:t>Wohnung</w:t>
            </w:r>
          </w:p>
        </w:tc>
        <w:tc>
          <w:tcPr>
            <w:tcW w:type="dxa" w:w="4536"/>
          </w:tcPr>
          <w:p>
            <w:r>
              <w:rPr>
                <w:rFonts w:ascii="Times New Roman" w:hAnsi="Times New Roman"/>
                <w:sz w:val="20"/>
              </w:rPr>
              <w:t>3 Zimmer, Flur, Küche, Bad, Balkon</w:t>
            </w:r>
          </w:p>
        </w:tc>
      </w:tr>
      <w:tr>
        <w:tc>
          <w:tcPr>
            <w:tcW w:type="dxa" w:w="4536"/>
          </w:tcPr>
          <w:p>
            <w:r>
              <w:rPr>
                <w:rFonts w:ascii="Times New Roman" w:hAnsi="Times New Roman"/>
                <w:sz w:val="20"/>
              </w:rPr>
              <w:t>Wohnfläche</w:t>
            </w:r>
          </w:p>
        </w:tc>
        <w:tc>
          <w:tcPr>
            <w:tcW w:type="dxa" w:w="4536"/>
          </w:tcPr>
          <w:p>
            <w:r>
              <w:rPr>
                <w:rFonts w:ascii="Times New Roman" w:hAnsi="Times New Roman"/>
                <w:sz w:val="20"/>
              </w:rPr>
              <w:t>ca. 95,30 qm laut Teilungserklärung</w:t>
            </w:r>
          </w:p>
        </w:tc>
      </w:tr>
      <w:tr>
        <w:tc>
          <w:tcPr>
            <w:tcW w:type="dxa" w:w="4536"/>
          </w:tcPr>
          <w:p>
            <w:r>
              <w:rPr>
                <w:rFonts w:ascii="Times New Roman" w:hAnsi="Times New Roman"/>
                <w:sz w:val="20"/>
              </w:rPr>
              <w:t>Nutzung</w:t>
            </w:r>
          </w:p>
        </w:tc>
        <w:tc>
          <w:tcPr>
            <w:tcW w:type="dxa" w:w="4536"/>
          </w:tcPr>
          <w:p>
            <w:r>
              <w:rPr>
                <w:rFonts w:ascii="Times New Roman" w:hAnsi="Times New Roman"/>
                <w:sz w:val="20"/>
              </w:rPr>
              <w:t>Wohnnutzung, vermietet</w:t>
            </w:r>
          </w:p>
        </w:tc>
      </w:tr>
      <w:tr>
        <w:tc>
          <w:tcPr>
            <w:tcW w:type="dxa" w:w="4536"/>
          </w:tcPr>
          <w:p>
            <w:r>
              <w:rPr>
                <w:rFonts w:ascii="Times New Roman" w:hAnsi="Times New Roman"/>
                <w:sz w:val="20"/>
              </w:rPr>
              <w:t>Besichtigung</w:t>
            </w:r>
          </w:p>
        </w:tc>
        <w:tc>
          <w:tcPr>
            <w:tcW w:type="dxa" w:w="4536"/>
          </w:tcPr>
          <w:p>
            <w:r>
              <w:rPr>
                <w:rFonts w:ascii="Times New Roman" w:hAnsi="Times New Roman"/>
                <w:sz w:val="20"/>
              </w:rPr>
              <w:t>Außenbesichtigung, Innenbesichtigung nicht ermöglicht</w:t>
            </w:r>
          </w:p>
        </w:tc>
      </w:tr>
    </w:tbl>
    <w:p>
      <w:pPr>
        <w:pStyle w:val="Heading2"/>
      </w:pPr>
      <w:r>
        <w:rPr>
          <w:rFonts w:ascii="Times New Roman" w:hAnsi="Times New Roman"/>
        </w:rPr>
        <w:t>Foto- und Kartenbeschreibungen</w:t>
      </w:r>
    </w:p>
    <w:p>
      <w:pPr>
        <w:pStyle w:val="ListBullet"/>
      </w:pPr>
      <w:r>
        <w:t>[FOTO-BESCHREIBUNG: Straßenansicht Altbau mit markierter Einheit]</w:t>
      </w:r>
    </w:p>
    <w:p>
      <w:pPr>
        <w:pStyle w:val="ListBullet"/>
      </w:pPr>
      <w:r>
        <w:t>[FOTO-BESCHREIBUNG: schematischer Grundriss der Wohnung Nr. 9]</w:t>
      </w:r>
    </w:p>
    <w:p>
      <w:pPr>
        <w:pStyle w:val="ListBullet"/>
      </w:pPr>
      <w:r>
        <w:t>[FOTO-BESCHREIBUNG: Ausschnitt Lagekarte Hamburg-Eppendorf]</w:t>
      </w:r>
    </w:p>
    <w:p>
      <w:pPr>
        <w:pStyle w:val="ListBullet"/>
      </w:pPr>
      <w:r>
        <w:t>[FOTO-BESCHREIBUNG: Hofansicht / Seitenflügel]</w:t>
      </w:r>
    </w:p>
    <w:p>
      <w:pPr>
        <w:pStyle w:val="Heading2"/>
      </w:pPr>
      <w:r>
        <w:rPr>
          <w:rFonts w:ascii="Times New Roman" w:hAnsi="Times New Roman"/>
        </w:rPr>
        <w:t>Miet- und Nutzungsangaben</w:t>
      </w:r>
    </w:p>
    <w:p>
      <w:pPr>
        <w:jc w:val="left"/>
      </w:pPr>
      <w:r>
        <w:t>Nach Mitteilung des Zwangsverwalters besteht ein Mietvertrag vom 26.08.2021 mit Mietbeginn am 01.11.2021. Die Wohnung ist zu Wohnzwecken vermietet.</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Zeitraum</w:t>
            </w:r>
          </w:p>
        </w:tc>
        <w:tc>
          <w:tcPr>
            <w:tcW w:type="dxa" w:w="2268"/>
          </w:tcPr>
          <w:p>
            <w:r>
              <w:rPr>
                <w:rFonts w:ascii="Times New Roman" w:hAnsi="Times New Roman"/>
                <w:b/>
                <w:sz w:val="20"/>
              </w:rPr>
              <w:t>Nettokaltmiete</w:t>
            </w:r>
          </w:p>
        </w:tc>
        <w:tc>
          <w:tcPr>
            <w:tcW w:type="dxa" w:w="2268"/>
          </w:tcPr>
          <w:p>
            <w:r>
              <w:rPr>
                <w:rFonts w:ascii="Times New Roman" w:hAnsi="Times New Roman"/>
                <w:b/>
                <w:sz w:val="20"/>
              </w:rPr>
              <w:t>Betrieb-/Heizkostenvorauszahlung</w:t>
            </w:r>
          </w:p>
        </w:tc>
        <w:tc>
          <w:tcPr>
            <w:tcW w:type="dxa" w:w="2268"/>
          </w:tcPr>
          <w:p>
            <w:r>
              <w:rPr>
                <w:rFonts w:ascii="Times New Roman" w:hAnsi="Times New Roman"/>
                <w:b/>
                <w:sz w:val="20"/>
              </w:rPr>
              <w:t>Gesamt</w:t>
            </w:r>
          </w:p>
        </w:tc>
      </w:tr>
      <w:tr>
        <w:tc>
          <w:tcPr>
            <w:tcW w:type="dxa" w:w="2268"/>
          </w:tcPr>
          <w:p>
            <w:r>
              <w:rPr>
                <w:rFonts w:ascii="Times New Roman" w:hAnsi="Times New Roman"/>
                <w:sz w:val="20"/>
              </w:rPr>
              <w:t>01.11.2021 bis 30.04.2023</w:t>
            </w:r>
          </w:p>
        </w:tc>
        <w:tc>
          <w:tcPr>
            <w:tcW w:type="dxa" w:w="2268"/>
          </w:tcPr>
          <w:p>
            <w:r>
              <w:rPr>
                <w:rFonts w:ascii="Times New Roman" w:hAnsi="Times New Roman"/>
                <w:sz w:val="20"/>
              </w:rPr>
              <w:t>850,00 EUR</w:t>
            </w:r>
          </w:p>
        </w:tc>
        <w:tc>
          <w:tcPr>
            <w:tcW w:type="dxa" w:w="2268"/>
          </w:tcPr>
          <w:p>
            <w:r>
              <w:rPr>
                <w:rFonts w:ascii="Times New Roman" w:hAnsi="Times New Roman"/>
                <w:sz w:val="20"/>
              </w:rPr>
              <w:t>230,00 EUR</w:t>
            </w:r>
          </w:p>
        </w:tc>
        <w:tc>
          <w:tcPr>
            <w:tcW w:type="dxa" w:w="2268"/>
          </w:tcPr>
          <w:p>
            <w:r>
              <w:rPr>
                <w:rFonts w:ascii="Times New Roman" w:hAnsi="Times New Roman"/>
                <w:sz w:val="20"/>
              </w:rPr>
              <w:t>1.080,00 EUR</w:t>
            </w:r>
          </w:p>
        </w:tc>
      </w:tr>
      <w:tr>
        <w:tc>
          <w:tcPr>
            <w:tcW w:type="dxa" w:w="2268"/>
          </w:tcPr>
          <w:p>
            <w:r>
              <w:rPr>
                <w:rFonts w:ascii="Times New Roman" w:hAnsi="Times New Roman"/>
                <w:sz w:val="20"/>
              </w:rPr>
              <w:t>ab 01.05.2023</w:t>
            </w:r>
          </w:p>
        </w:tc>
        <w:tc>
          <w:tcPr>
            <w:tcW w:type="dxa" w:w="2268"/>
          </w:tcPr>
          <w:p>
            <w:r>
              <w:rPr>
                <w:rFonts w:ascii="Times New Roman" w:hAnsi="Times New Roman"/>
                <w:sz w:val="20"/>
              </w:rPr>
              <w:t>1.320,00 EUR</w:t>
            </w:r>
          </w:p>
        </w:tc>
        <w:tc>
          <w:tcPr>
            <w:tcW w:type="dxa" w:w="2268"/>
          </w:tcPr>
          <w:p>
            <w:r>
              <w:rPr>
                <w:rFonts w:ascii="Times New Roman" w:hAnsi="Times New Roman"/>
                <w:sz w:val="20"/>
              </w:rPr>
              <w:t>260,00 EUR</w:t>
            </w:r>
          </w:p>
        </w:tc>
        <w:tc>
          <w:tcPr>
            <w:tcW w:type="dxa" w:w="2268"/>
          </w:tcPr>
          <w:p>
            <w:r>
              <w:rPr>
                <w:rFonts w:ascii="Times New Roman" w:hAnsi="Times New Roman"/>
                <w:sz w:val="20"/>
              </w:rPr>
              <w:t>1.580,00 EUR</w:t>
            </w:r>
          </w:p>
        </w:tc>
      </w:tr>
    </w:tbl>
    <w:p>
      <w:pPr>
        <w:jc w:val="left"/>
      </w:pPr>
      <w:r>
        <w:t>Die reduzierte Anfangsmiete wurde nach Aktenlage mit Renovierungs- und Instandsetzungsleistungen des Mieters begründet. Nach dem Ortstermin waren am Klingelschild neben dem Mieternamen zwei weitere Namen angebracht. Am Briefkasten fand sich zusätzlich ein Fantasiename "Atelier Nordbogen". Die tatsächliche Nutzung ist ungeklärt.</w:t>
      </w:r>
    </w:p>
    <w:p>
      <w:pPr>
        <w:pStyle w:val="Heading2"/>
      </w:pPr>
      <w:r>
        <w:rPr>
          <w:rFonts w:ascii="Times New Roman" w:hAnsi="Times New Roman"/>
        </w:rPr>
        <w:t>WEG und Hausgeld</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Position</w:t>
            </w:r>
          </w:p>
        </w:tc>
        <w:tc>
          <w:tcPr>
            <w:tcW w:type="dxa" w:w="4536"/>
          </w:tcPr>
          <w:p>
            <w:r>
              <w:rPr>
                <w:rFonts w:ascii="Times New Roman" w:hAnsi="Times New Roman"/>
                <w:b/>
                <w:sz w:val="20"/>
              </w:rPr>
              <w:t>Befund</w:t>
            </w:r>
          </w:p>
        </w:tc>
      </w:tr>
      <w:tr>
        <w:tc>
          <w:tcPr>
            <w:tcW w:type="dxa" w:w="4536"/>
          </w:tcPr>
          <w:p>
            <w:r>
              <w:rPr>
                <w:rFonts w:ascii="Times New Roman" w:hAnsi="Times New Roman"/>
                <w:sz w:val="20"/>
              </w:rPr>
              <w:t>Erhaltungsrücklage Gesamtanlage</w:t>
            </w:r>
          </w:p>
        </w:tc>
        <w:tc>
          <w:tcPr>
            <w:tcW w:type="dxa" w:w="4536"/>
          </w:tcPr>
          <w:p>
            <w:r>
              <w:rPr>
                <w:rFonts w:ascii="Times New Roman" w:hAnsi="Times New Roman"/>
                <w:sz w:val="20"/>
              </w:rPr>
              <w:t>118.450,00 EUR zum 31.12.2025</w:t>
            </w:r>
          </w:p>
        </w:tc>
      </w:tr>
      <w:tr>
        <w:tc>
          <w:tcPr>
            <w:tcW w:type="dxa" w:w="4536"/>
          </w:tcPr>
          <w:p>
            <w:r>
              <w:rPr>
                <w:rFonts w:ascii="Times New Roman" w:hAnsi="Times New Roman"/>
                <w:sz w:val="20"/>
              </w:rPr>
              <w:t>Hausgeld laut Wirtschaftsplan 2026</w:t>
            </w:r>
          </w:p>
        </w:tc>
        <w:tc>
          <w:tcPr>
            <w:tcW w:type="dxa" w:w="4536"/>
          </w:tcPr>
          <w:p>
            <w:r>
              <w:rPr>
                <w:rFonts w:ascii="Times New Roman" w:hAnsi="Times New Roman"/>
                <w:sz w:val="20"/>
              </w:rPr>
              <w:t>512,00 EUR monatlich</w:t>
            </w:r>
          </w:p>
        </w:tc>
      </w:tr>
      <w:tr>
        <w:tc>
          <w:tcPr>
            <w:tcW w:type="dxa" w:w="4536"/>
          </w:tcPr>
          <w:p>
            <w:r>
              <w:rPr>
                <w:rFonts w:ascii="Times New Roman" w:hAnsi="Times New Roman"/>
                <w:sz w:val="20"/>
              </w:rPr>
              <w:t>Anteil Erhaltungsrücklage</w:t>
            </w:r>
          </w:p>
        </w:tc>
        <w:tc>
          <w:tcPr>
            <w:tcW w:type="dxa" w:w="4536"/>
          </w:tcPr>
          <w:p>
            <w:r>
              <w:rPr>
                <w:rFonts w:ascii="Times New Roman" w:hAnsi="Times New Roman"/>
                <w:sz w:val="20"/>
              </w:rPr>
              <w:t>126,00 EUR monatlich</w:t>
            </w:r>
          </w:p>
        </w:tc>
      </w:tr>
      <w:tr>
        <w:tc>
          <w:tcPr>
            <w:tcW w:type="dxa" w:w="4536"/>
          </w:tcPr>
          <w:p>
            <w:r>
              <w:rPr>
                <w:rFonts w:ascii="Times New Roman" w:hAnsi="Times New Roman"/>
                <w:sz w:val="20"/>
              </w:rPr>
              <w:t>Sonderumlage</w:t>
            </w:r>
          </w:p>
        </w:tc>
        <w:tc>
          <w:tcPr>
            <w:tcW w:type="dxa" w:w="4536"/>
          </w:tcPr>
          <w:p>
            <w:r>
              <w:rPr>
                <w:rFonts w:ascii="Times New Roman" w:hAnsi="Times New Roman"/>
                <w:sz w:val="20"/>
              </w:rPr>
              <w:t>diskutiert für Steigleitungen und Dachentwässerung</w:t>
            </w:r>
          </w:p>
        </w:tc>
      </w:tr>
    </w:tbl>
    <w:p>
      <w:pPr>
        <w:pStyle w:val="Heading2"/>
      </w:pPr>
      <w:r>
        <w:rPr>
          <w:rFonts w:ascii="Times New Roman" w:hAnsi="Times New Roman"/>
        </w:rPr>
        <w:t>Wertermittlung</w:t>
      </w:r>
    </w:p>
    <w:p>
      <w:pPr>
        <w:jc w:val="left"/>
      </w:pPr>
      <w:r>
        <w:t>Die Bewertung orientiert sich am Vergleichswertverfahren. Wegen fehlender Innenbesichtigung wurden durchschnittlicher Unterhaltungszustand, baujahrestypische Ausstattung und keine gravierenden verdeckten Schäden unterstellt. Für Bieter ist dies ein wesentlicher Risikopunkt.</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Position</w:t>
            </w:r>
          </w:p>
        </w:tc>
        <w:tc>
          <w:tcPr>
            <w:tcW w:type="dxa" w:w="4536"/>
          </w:tcPr>
          <w:p>
            <w:r>
              <w:rPr>
                <w:rFonts w:ascii="Times New Roman" w:hAnsi="Times New Roman"/>
                <w:b/>
                <w:sz w:val="20"/>
              </w:rPr>
              <w:t>Betrag</w:t>
            </w:r>
          </w:p>
        </w:tc>
      </w:tr>
      <w:tr>
        <w:tc>
          <w:tcPr>
            <w:tcW w:type="dxa" w:w="4536"/>
          </w:tcPr>
          <w:p>
            <w:r>
              <w:rPr>
                <w:rFonts w:ascii="Times New Roman" w:hAnsi="Times New Roman"/>
                <w:sz w:val="20"/>
              </w:rPr>
              <w:t>vorläufiger Vergleichswert</w:t>
            </w:r>
          </w:p>
        </w:tc>
        <w:tc>
          <w:tcPr>
            <w:tcW w:type="dxa" w:w="4536"/>
          </w:tcPr>
          <w:p>
            <w:r>
              <w:rPr>
                <w:rFonts w:ascii="Times New Roman" w:hAnsi="Times New Roman"/>
                <w:sz w:val="20"/>
              </w:rPr>
              <w:t>720.000,00 EUR</w:t>
            </w:r>
          </w:p>
        </w:tc>
      </w:tr>
      <w:tr>
        <w:tc>
          <w:tcPr>
            <w:tcW w:type="dxa" w:w="4536"/>
          </w:tcPr>
          <w:p>
            <w:r>
              <w:rPr>
                <w:rFonts w:ascii="Times New Roman" w:hAnsi="Times New Roman"/>
                <w:sz w:val="20"/>
              </w:rPr>
              <w:t>Abschlag fehlende Innenbesichtigung</w:t>
            </w:r>
          </w:p>
        </w:tc>
        <w:tc>
          <w:tcPr>
            <w:tcW w:type="dxa" w:w="4536"/>
          </w:tcPr>
          <w:p>
            <w:r>
              <w:rPr>
                <w:rFonts w:ascii="Times New Roman" w:hAnsi="Times New Roman"/>
                <w:sz w:val="20"/>
              </w:rPr>
              <w:t>-25.000,00 EUR</w:t>
            </w:r>
          </w:p>
        </w:tc>
      </w:tr>
      <w:tr>
        <w:tc>
          <w:tcPr>
            <w:tcW w:type="dxa" w:w="4536"/>
          </w:tcPr>
          <w:p>
            <w:r>
              <w:rPr>
                <w:rFonts w:ascii="Times New Roman" w:hAnsi="Times New Roman"/>
                <w:sz w:val="20"/>
              </w:rPr>
              <w:t>Abschlag ungeklärte Nutzung / Mietlage</w:t>
            </w:r>
          </w:p>
        </w:tc>
        <w:tc>
          <w:tcPr>
            <w:tcW w:type="dxa" w:w="4536"/>
          </w:tcPr>
          <w:p>
            <w:r>
              <w:rPr>
                <w:rFonts w:ascii="Times New Roman" w:hAnsi="Times New Roman"/>
                <w:sz w:val="20"/>
              </w:rPr>
              <w:t>-10.000,00 EUR</w:t>
            </w:r>
          </w:p>
        </w:tc>
      </w:tr>
      <w:tr>
        <w:tc>
          <w:tcPr>
            <w:tcW w:type="dxa" w:w="4536"/>
          </w:tcPr>
          <w:p>
            <w:r>
              <w:rPr>
                <w:rFonts w:ascii="Times New Roman" w:hAnsi="Times New Roman"/>
                <w:sz w:val="20"/>
              </w:rPr>
              <w:t>gerundeter Verkehrswert</w:t>
            </w:r>
          </w:p>
        </w:tc>
        <w:tc>
          <w:tcPr>
            <w:tcW w:type="dxa" w:w="4536"/>
          </w:tcPr>
          <w:p>
            <w:r>
              <w:rPr>
                <w:rFonts w:ascii="Times New Roman" w:hAnsi="Times New Roman"/>
                <w:sz w:val="20"/>
              </w:rPr>
              <w:t>685.000,00 EUR</w:t>
            </w:r>
          </w:p>
        </w:tc>
      </w:tr>
    </w:tbl>
    <w:p>
      <w:pPr>
        <w:pStyle w:val="Heading2"/>
      </w:pPr>
      <w:r>
        <w:rPr>
          <w:rFonts w:ascii="Times New Roman" w:hAnsi="Times New Roman"/>
        </w:rPr>
        <w:t>Gutachterliche Risikohinweise</w:t>
      </w:r>
    </w:p>
    <w:p>
      <w:pPr>
        <w:pStyle w:val="ListBullet"/>
      </w:pPr>
      <w:r>
        <w:t>Innenzustand ist nicht verifiziert.</w:t>
      </w:r>
    </w:p>
    <w:p>
      <w:pPr>
        <w:pStyle w:val="ListBullet"/>
      </w:pPr>
      <w:r>
        <w:t>Miet- und Nutzungsstatus muss vor Gebot plausibilisiert werden.</w:t>
      </w:r>
    </w:p>
    <w:p>
      <w:pPr>
        <w:pStyle w:val="ListBullet"/>
      </w:pPr>
      <w:r>
        <w:t>WEG-Sonderumlage kann den wirtschaftlichen Erwerb beeinflussen.</w:t>
      </w:r>
    </w:p>
    <w:p>
      <w:pPr>
        <w:pStyle w:val="ListBullet"/>
      </w:pPr>
      <w:r>
        <w:t>Keine Gewähr für Freiheit von Baumängeln, Altlasten oder nicht bekannten öffentlich-rechtlichen Bindungen.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