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Berechnung des geringsten Gebots – § 49 ZVG</w:t>
      </w:r>
    </w:p>
    <w:p>
      <w:pPr>
        <w:jc w:val="left"/>
      </w:pPr>
      <w:r>
        <w:rPr>
          <w:b/>
        </w:rPr>
        <w:t>Aktenzeichen:</w:t>
      </w:r>
      <w:r>
        <w:t xml:space="preserve"> 71 K 18/26</w:t>
      </w:r>
    </w:p>
    <w:p>
      <w:pPr>
        <w:jc w:val="left"/>
      </w:pPr>
      <w:r>
        <w:rPr>
          <w:b/>
        </w:rPr>
        <w:t>Amtsgericht Hamburg, Abteilung 71</w:t>
      </w:r>
    </w:p>
    <w:p>
      <w:pPr>
        <w:jc w:val="left"/>
      </w:pPr>
      <w:r>
        <w:rPr>
          <w:b/>
        </w:rPr>
        <w:t>Versteigerungstermin:</w:t>
      </w:r>
      <w:r>
        <w:t xml:space="preserve"> 16.07.2026</w:t>
      </w:r>
    </w:p>
    <w:p>
      <w:pPr>
        <w:jc w:val="left"/>
      </w:pPr>
      <w:r>
        <w:rPr>
          <w:b/>
        </w:rPr>
        <w:t>Objekt:</w:t>
      </w:r>
      <w:r>
        <w:t xml:space="preserve"> WE Nr. 9, Eppendorfer Mühlenbogen 16 / Heilwigbogen 4, 20249 Hamburg</w:t>
      </w:r>
    </w:p>
    <w:p>
      <w:pPr>
        <w:jc w:val="left"/>
      </w:pPr>
      <w:r>
        <w:rPr>
          <w:b/>
        </w:rPr>
        <w:t>Verkehrswert (§ 74a ZVG):</w:t>
      </w:r>
      <w:r>
        <w:t xml:space="preserve"> 685.000,00 EUR</w:t>
      </w:r>
    </w:p>
    <w:p/>
    <w:p>
      <w:pPr>
        <w:pStyle w:val="Heading2"/>
      </w:pPr>
      <w:r>
        <w:rPr>
          <w:rFonts w:ascii="Times New Roman" w:hAnsi="Times New Roman"/>
        </w:rPr>
        <w:t>Vorbemerkung</w:t>
      </w:r>
    </w:p>
    <w:p>
      <w:pPr>
        <w:jc w:val="left"/>
      </w:pPr>
      <w:r>
        <w:t xml:space="preserve">Das </w:t>
      </w:r>
      <w:r>
        <w:rPr>
          <w:b/>
        </w:rPr>
        <w:t>geringste Gebot</w:t>
      </w:r>
      <w:r>
        <w:t xml:space="preserve"> (§ 49 Abs. 1 ZVG) ist die gesetzliche Untergrenze, unterhalb derer kein Zuschlag erteilt werden darf. Es setzt sich aus dem </w:t>
      </w:r>
      <w:r>
        <w:rPr>
          <w:b/>
        </w:rPr>
        <w:t>Bargebot</w:t>
      </w:r>
      <w:r>
        <w:t xml:space="preserve"> und den </w:t>
      </w:r>
      <w:r>
        <w:rPr>
          <w:b/>
        </w:rPr>
        <w:t>bestehenbleibenden Rechten</w:t>
      </w:r>
      <w:r>
        <w:t xml:space="preserve"> zusammen. Das geringste Gebot wird erst im Versteigerungstermin vom Rechtspfleger festgestellt, wenn die Versteigerungsbedingungen bekannt gegeben und bestehenbleibende Rechte endgültig bestimmt sind.</w:t>
      </w:r>
    </w:p>
    <w:p>
      <w:pPr>
        <w:jc w:val="left"/>
      </w:pPr>
      <w:r>
        <w:t>Diese Berechnung ist eine Vorab-Schätzung auf Grundlage der Aktenlage. Sie ersetzt keine bereitgestellten Lehrmaterialien und keine verifizierte Quellenarbeit.</w:t>
      </w:r>
    </w:p>
    <w:p/>
    <w:p>
      <w:pPr>
        <w:pStyle w:val="Heading2"/>
      </w:pPr>
      <w:r>
        <w:rPr>
          <w:rFonts w:ascii="Times New Roman" w:hAnsi="Times New Roman"/>
        </w:rPr>
        <w:t>1. Versteigerungsbedingungen (§ 44 ZVG)</w:t>
      </w:r>
    </w:p>
    <w:p>
      <w:pPr>
        <w:jc w:val="left"/>
      </w:pPr>
      <w:r>
        <w:t>Das geringste Gebot enthält nach den gesetzlichen Versteigerungsbedingungen: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Bestandteil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Bestehenbleibende Rechte</w:t>
            </w:r>
          </w:p>
        </w:tc>
        <w:tc>
          <w:tcPr>
            <w:tcW w:type="dxa" w:w="4536"/>
          </w:tcPr>
          <w:p>
            <w:r>
              <w:rPr>
                <w:rFonts w:ascii="Times New Roman" w:hAnsi="Times New Roman"/>
                <w:sz w:val="20"/>
              </w:rPr>
              <w:t>Wertmäßige Übernahme durch den Ersteher (§ 52 ZVG)</w:t>
            </w:r>
          </w:p>
        </w:tc>
      </w:tr>
      <w:tr>
        <w:tc>
          <w:tcPr>
            <w:tcW w:type="dxa" w:w="4536"/>
          </w:tcPr>
          <w:p>
            <w:r>
              <w:rPr>
                <w:rFonts w:ascii="Times New Roman" w:hAnsi="Times New Roman"/>
                <w:sz w:val="20"/>
              </w:rPr>
              <w:t>Deckungsprinzip (Barzahlungsanteil)</w:t>
            </w:r>
          </w:p>
        </w:tc>
        <w:tc>
          <w:tcPr>
            <w:tcW w:type="dxa" w:w="4536"/>
          </w:tcPr>
          <w:p>
            <w:r>
              <w:rPr>
                <w:rFonts w:ascii="Times New Roman" w:hAnsi="Times New Roman"/>
                <w:sz w:val="20"/>
              </w:rPr>
              <w:t>Muss die Kosten des Verfahrens und die laufenden Zinsen der bestehenbleibenden Rechte decken</w:t>
            </w:r>
          </w:p>
        </w:tc>
      </w:tr>
      <w:tr>
        <w:tc>
          <w:tcPr>
            <w:tcW w:type="dxa" w:w="4536"/>
          </w:tcPr>
          <w:p>
            <w:r>
              <w:rPr>
                <w:rFonts w:ascii="Times New Roman" w:hAnsi="Times New Roman"/>
                <w:sz w:val="20"/>
              </w:rPr>
              <w:t>Mindest-Bargebot</w:t>
            </w:r>
          </w:p>
        </w:tc>
        <w:tc>
          <w:tcPr>
            <w:tcW w:type="dxa" w:w="4536"/>
          </w:tcPr>
          <w:p>
            <w:r>
              <w:rPr>
                <w:rFonts w:ascii="Times New Roman" w:hAnsi="Times New Roman"/>
                <w:sz w:val="20"/>
              </w:rPr>
              <w:t>= Verfahrenskosten + Zins-Jahresbetrag bestehenbleibende Rechte</w:t>
            </w:r>
          </w:p>
        </w:tc>
      </w:tr>
    </w:tbl>
    <w:p/>
    <w:p>
      <w:pPr>
        <w:pStyle w:val="Heading2"/>
      </w:pPr>
      <w:r>
        <w:rPr>
          <w:rFonts w:ascii="Times New Roman" w:hAnsi="Times New Roman"/>
        </w:rPr>
        <w:t>2. Bestehenbleibende Rechte (vorläufige Einschätzung)</w:t>
      </w:r>
    </w:p>
    <w:p>
      <w:pPr>
        <w:jc w:val="left"/>
      </w:pPr>
      <w:r>
        <w:t>Ob ein Recht bestehen bleibt, richtet sich nach seinem Rang im Verhältnis zum Vollstreckungsrecht des betreibenden Gläubigers.</w:t>
      </w:r>
    </w:p>
    <w:p>
      <w:pPr>
        <w:jc w:val="left"/>
      </w:pPr>
      <w:r>
        <w:rPr>
          <w:b/>
        </w:rPr>
        <w:t>Betreibende Gläubigerin:</w:t>
      </w:r>
      <w:r>
        <w:t xml:space="preserve"> Nordelbe Kreditbank AG (Grundschuld Abt. III Nr. 1, 520.000,00 EUR)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Recht</w:t>
            </w:r>
          </w:p>
        </w:tc>
        <w:tc>
          <w:tcPr>
            <w:tcW w:type="dxa" w:w="1814"/>
          </w:tcPr>
          <w:p>
            <w:r>
              <w:rPr>
                <w:rFonts w:ascii="Times New Roman" w:hAnsi="Times New Roman"/>
                <w:b/>
                <w:sz w:val="20"/>
              </w:rPr>
              <w:t>Abt.</w:t>
            </w:r>
          </w:p>
        </w:tc>
        <w:tc>
          <w:tcPr>
            <w:tcW w:type="dxa" w:w="1814"/>
          </w:tcPr>
          <w:p>
            <w:r>
              <w:rPr>
                <w:rFonts w:ascii="Times New Roman" w:hAnsi="Times New Roman"/>
                <w:b/>
                <w:sz w:val="20"/>
              </w:rPr>
              <w:t>Rang</w:t>
            </w:r>
          </w:p>
        </w:tc>
        <w:tc>
          <w:tcPr>
            <w:tcW w:type="dxa" w:w="1814"/>
          </w:tcPr>
          <w:p>
            <w:r>
              <w:rPr>
                <w:rFonts w:ascii="Times New Roman" w:hAnsi="Times New Roman"/>
                <w:b/>
                <w:sz w:val="20"/>
              </w:rPr>
              <w:t>Bestehenbleiben?</w:t>
            </w:r>
          </w:p>
        </w:tc>
        <w:tc>
          <w:tcPr>
            <w:tcW w:type="dxa" w:w="1814"/>
          </w:tcPr>
          <w:p>
            <w:r>
              <w:rPr>
                <w:rFonts w:ascii="Times New Roman" w:hAnsi="Times New Roman"/>
                <w:b/>
                <w:sz w:val="20"/>
              </w:rPr>
              <w:t>Kapitalbetrag</w:t>
            </w:r>
          </w:p>
        </w:tc>
      </w:tr>
      <w:tr>
        <w:tc>
          <w:tcPr>
            <w:tcW w:type="dxa" w:w="1814"/>
          </w:tcPr>
          <w:p>
            <w:r>
              <w:rPr>
                <w:rFonts w:ascii="Times New Roman" w:hAnsi="Times New Roman"/>
                <w:sz w:val="20"/>
              </w:rPr>
              <w:t>Grundschuld Nordelbe Kreditbank AG</w:t>
            </w:r>
          </w:p>
        </w:tc>
        <w:tc>
          <w:tcPr>
            <w:tcW w:type="dxa" w:w="1814"/>
          </w:tcPr>
          <w:p>
            <w:r>
              <w:rPr>
                <w:rFonts w:ascii="Times New Roman" w:hAnsi="Times New Roman"/>
                <w:sz w:val="20"/>
              </w:rPr>
              <w:t>III/1</w:t>
            </w:r>
          </w:p>
        </w:tc>
        <w:tc>
          <w:tcPr>
            <w:tcW w:type="dxa" w:w="1814"/>
          </w:tcPr>
          <w:p>
            <w:r>
              <w:rPr>
                <w:rFonts w:ascii="Times New Roman" w:hAnsi="Times New Roman"/>
                <w:sz w:val="20"/>
              </w:rPr>
              <w:t>1. Rang</w:t>
            </w:r>
          </w:p>
        </w:tc>
        <w:tc>
          <w:tcPr>
            <w:tcW w:type="dxa" w:w="1814"/>
          </w:tcPr>
          <w:p>
            <w:r>
              <w:rPr>
                <w:rFonts w:ascii="Times New Roman" w:hAnsi="Times New Roman"/>
                <w:sz w:val="20"/>
              </w:rPr>
              <w:t>Betreibende Gläubigerin – entfällt durch Zuschlag (§ 91 ZVG), wird aus Erlös befriedigt</w:t>
            </w:r>
          </w:p>
        </w:tc>
        <w:tc>
          <w:tcPr>
            <w:tcW w:type="dxa" w:w="1814"/>
          </w:tcPr>
          <w:p>
            <w:r>
              <w:rPr>
                <w:rFonts w:ascii="Times New Roman" w:hAnsi="Times New Roman"/>
                <w:sz w:val="20"/>
              </w:rPr>
              <w:t>—</w:t>
            </w:r>
          </w:p>
        </w:tc>
      </w:tr>
      <w:tr>
        <w:tc>
          <w:tcPr>
            <w:tcW w:type="dxa" w:w="1814"/>
          </w:tcPr>
          <w:p>
            <w:r>
              <w:rPr>
                <w:rFonts w:ascii="Times New Roman" w:hAnsi="Times New Roman"/>
                <w:sz w:val="20"/>
              </w:rPr>
              <w:t>Zwangssicherungshypothek WEG</w:t>
            </w:r>
          </w:p>
        </w:tc>
        <w:tc>
          <w:tcPr>
            <w:tcW w:type="dxa" w:w="1814"/>
          </w:tcPr>
          <w:p>
            <w:r>
              <w:rPr>
                <w:rFonts w:ascii="Times New Roman" w:hAnsi="Times New Roman"/>
                <w:sz w:val="20"/>
              </w:rPr>
              <w:t>III/2</w:t>
            </w:r>
          </w:p>
        </w:tc>
        <w:tc>
          <w:tcPr>
            <w:tcW w:type="dxa" w:w="1814"/>
          </w:tcPr>
          <w:p>
            <w:r>
              <w:rPr>
                <w:rFonts w:ascii="Times New Roman" w:hAnsi="Times New Roman"/>
                <w:sz w:val="20"/>
              </w:rPr>
              <w:t>2. Rang</w:t>
            </w:r>
          </w:p>
        </w:tc>
        <w:tc>
          <w:tcPr>
            <w:tcW w:type="dxa" w:w="1814"/>
          </w:tcPr>
          <w:p>
            <w:r>
              <w:rPr>
                <w:rFonts w:ascii="Times New Roman" w:hAnsi="Times New Roman"/>
                <w:sz w:val="20"/>
              </w:rPr>
              <w:t>Nachrangig – erlischt mit Zuschlag; wird aus Verteilungsmasse befriedigt</w:t>
            </w:r>
          </w:p>
        </w:tc>
        <w:tc>
          <w:tcPr>
            <w:tcW w:type="dxa" w:w="1814"/>
          </w:tcPr>
          <w:p>
            <w:r>
              <w:rPr>
                <w:rFonts w:ascii="Times New Roman" w:hAnsi="Times New Roman"/>
                <w:sz w:val="20"/>
              </w:rPr>
              <w:t>38.400,00 EUR</w:t>
            </w:r>
          </w:p>
        </w:tc>
      </w:tr>
      <w:tr>
        <w:tc>
          <w:tcPr>
            <w:tcW w:type="dxa" w:w="1814"/>
          </w:tcPr>
          <w:p>
            <w:r>
              <w:rPr>
                <w:rFonts w:ascii="Times New Roman" w:hAnsi="Times New Roman"/>
                <w:sz w:val="20"/>
              </w:rPr>
              <w:t>Zwangsverwaltungsvermerk</w:t>
            </w:r>
          </w:p>
        </w:tc>
        <w:tc>
          <w:tcPr>
            <w:tcW w:type="dxa" w:w="1814"/>
          </w:tcPr>
          <w:p>
            <w:r>
              <w:rPr>
                <w:rFonts w:ascii="Times New Roman" w:hAnsi="Times New Roman"/>
                <w:sz w:val="20"/>
              </w:rPr>
              <w:t>II/2</w:t>
            </w:r>
          </w:p>
        </w:tc>
        <w:tc>
          <w:tcPr>
            <w:tcW w:type="dxa" w:w="1814"/>
          </w:tcPr>
          <w:p>
            <w:r>
              <w:rPr>
                <w:rFonts w:ascii="Times New Roman" w:hAnsi="Times New Roman"/>
                <w:sz w:val="20"/>
              </w:rPr>
              <w:t>—</w:t>
            </w:r>
          </w:p>
        </w:tc>
        <w:tc>
          <w:tcPr>
            <w:tcW w:type="dxa" w:w="1814"/>
          </w:tcPr>
          <w:p>
            <w:r>
              <w:rPr>
                <w:rFonts w:ascii="Times New Roman" w:hAnsi="Times New Roman"/>
                <w:sz w:val="20"/>
              </w:rPr>
              <w:t>Erledigt sich durch Zuschlag</w:t>
            </w:r>
          </w:p>
        </w:tc>
        <w:tc>
          <w:tcPr>
            <w:tcW w:type="dxa" w:w="1814"/>
          </w:tcPr>
          <w:p>
            <w:r>
              <w:rPr>
                <w:rFonts w:ascii="Times New Roman" w:hAnsi="Times New Roman"/>
                <w:sz w:val="20"/>
              </w:rPr>
              <w:t>—</w:t>
            </w:r>
          </w:p>
        </w:tc>
      </w:tr>
      <w:tr>
        <w:tc>
          <w:tcPr>
            <w:tcW w:type="dxa" w:w="1814"/>
          </w:tcPr>
          <w:p>
            <w:r>
              <w:rPr>
                <w:rFonts w:ascii="Times New Roman" w:hAnsi="Times New Roman"/>
                <w:sz w:val="20"/>
              </w:rPr>
              <w:t>Zwangsversteigerungsvermerk</w:t>
            </w:r>
          </w:p>
        </w:tc>
        <w:tc>
          <w:tcPr>
            <w:tcW w:type="dxa" w:w="1814"/>
          </w:tcPr>
          <w:p>
            <w:r>
              <w:rPr>
                <w:rFonts w:ascii="Times New Roman" w:hAnsi="Times New Roman"/>
                <w:sz w:val="20"/>
              </w:rPr>
              <w:t>II/3</w:t>
            </w:r>
          </w:p>
        </w:tc>
        <w:tc>
          <w:tcPr>
            <w:tcW w:type="dxa" w:w="1814"/>
          </w:tcPr>
          <w:p>
            <w:r>
              <w:rPr>
                <w:rFonts w:ascii="Times New Roman" w:hAnsi="Times New Roman"/>
                <w:sz w:val="20"/>
              </w:rPr>
              <w:t>—</w:t>
            </w:r>
          </w:p>
        </w:tc>
        <w:tc>
          <w:tcPr>
            <w:tcW w:type="dxa" w:w="1814"/>
          </w:tcPr>
          <w:p>
            <w:r>
              <w:rPr>
                <w:rFonts w:ascii="Times New Roman" w:hAnsi="Times New Roman"/>
                <w:sz w:val="20"/>
              </w:rPr>
              <w:t>Erledigt sich durch Zuschlag</w:t>
            </w:r>
          </w:p>
        </w:tc>
        <w:tc>
          <w:tcPr>
            <w:tcW w:type="dxa" w:w="1814"/>
          </w:tcPr>
          <w:p>
            <w:r>
              <w:rPr>
                <w:rFonts w:ascii="Times New Roman" w:hAnsi="Times New Roman"/>
                <w:sz w:val="20"/>
              </w:rPr>
              <w:t>—</w:t>
            </w:r>
          </w:p>
        </w:tc>
      </w:tr>
      <w:tr>
        <w:tc>
          <w:tcPr>
            <w:tcW w:type="dxa" w:w="1814"/>
          </w:tcPr>
          <w:p>
            <w:r>
              <w:rPr>
                <w:rFonts w:ascii="Times New Roman" w:hAnsi="Times New Roman"/>
                <w:sz w:val="20"/>
              </w:rPr>
              <w:t>Sanierungsvermerk Eppendorf-Ost</w:t>
            </w:r>
          </w:p>
        </w:tc>
        <w:tc>
          <w:tcPr>
            <w:tcW w:type="dxa" w:w="1814"/>
          </w:tcPr>
          <w:p>
            <w:r>
              <w:rPr>
                <w:rFonts w:ascii="Times New Roman" w:hAnsi="Times New Roman"/>
                <w:sz w:val="20"/>
              </w:rPr>
              <w:t>II/4</w:t>
            </w:r>
          </w:p>
        </w:tc>
        <w:tc>
          <w:tcPr>
            <w:tcW w:type="dxa" w:w="1814"/>
          </w:tcPr>
          <w:p>
            <w:r>
              <w:rPr>
                <w:rFonts w:ascii="Times New Roman" w:hAnsi="Times New Roman"/>
                <w:sz w:val="20"/>
              </w:rPr>
              <w:t>—</w:t>
            </w:r>
          </w:p>
        </w:tc>
        <w:tc>
          <w:tcPr>
            <w:tcW w:type="dxa" w:w="1814"/>
          </w:tcPr>
          <w:p>
            <w:r>
              <w:rPr>
                <w:rFonts w:ascii="Times New Roman" w:hAnsi="Times New Roman"/>
                <w:sz w:val="20"/>
              </w:rPr>
              <w:t>Öffentlich-rechtlich – bleibt bestehen, aber kein Kapitalwert im Sinne § 49 ZVG</w:t>
            </w:r>
          </w:p>
        </w:tc>
        <w:tc>
          <w:tcPr>
            <w:tcW w:type="dxa" w:w="1814"/>
          </w:tcPr>
          <w:p>
            <w:r>
              <w:rPr>
                <w:rFonts w:ascii="Times New Roman" w:hAnsi="Times New Roman"/>
                <w:sz w:val="20"/>
              </w:rPr>
              <w:t>—</w:t>
            </w:r>
          </w:p>
        </w:tc>
      </w:tr>
    </w:tbl>
    <w:p>
      <w:pPr>
        <w:ind w:left="567"/>
      </w:pPr>
      <w:r>
        <w:rPr>
          <w:b/>
          <w:i/>
        </w:rPr>
        <w:t>Vorläufiges Ergebnis:</w:t>
      </w:r>
      <w:r>
        <w:rPr>
          <w:i/>
        </w:rPr>
        <w:t xml:space="preserve"> Nach der Aktenlage bestehen im rechtlichen Sinne des § 49 ZVG </w:t>
      </w:r>
      <w:r>
        <w:rPr>
          <w:b/>
          <w:i/>
        </w:rPr>
        <w:t>keine bestehenbleibenden Rechte mit monetärem Rang vor dem betreibenden Gläubiger</w:t>
      </w:r>
      <w:r>
        <w:rPr>
          <w:i/>
        </w:rPr>
        <w:t>. Alle eingetragenen Grundpfandrechte sind nachrangig oder werden durch den Zuschlag erledigt. Das geringste Gebot entspricht damit im Wesentlichen dem Mindest-Bargebot.</w:t>
      </w:r>
    </w:p>
    <w:p/>
    <w:p>
      <w:pPr>
        <w:pStyle w:val="Heading2"/>
      </w:pPr>
      <w:r>
        <w:rPr>
          <w:rFonts w:ascii="Times New Roman" w:hAnsi="Times New Roman"/>
        </w:rPr>
        <w:t>3. Schätzung des Mindest-Bargebots (§ 49 Abs. 1 ZVG)</w:t>
      </w:r>
    </w:p>
    <w:p>
      <w:pPr>
        <w:jc w:val="left"/>
      </w:pPr>
      <w:r>
        <w:t>Das Mindest-Bargebot muss mindestens die Kosten des Verfahrens und die laufenden Zinsen der bestehenbleibenden Rechte decken. Da voraussichtlich keine bestehenbleibenden Rechte mit laufenden Zinsen vorhanden sind, besteht das Mindest-Bargebot aus den Verfahrenskosten.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Berechnung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Gerichtsvollzieherkosten und Auslagen (§§ 8 GKG ZVG)</w:t>
            </w:r>
          </w:p>
        </w:tc>
        <w:tc>
          <w:tcPr>
            <w:tcW w:type="dxa" w:w="3024"/>
          </w:tcPr>
          <w:p>
            <w:r>
              <w:rPr>
                <w:rFonts w:ascii="Times New Roman" w:hAnsi="Times New Roman"/>
                <w:sz w:val="20"/>
              </w:rPr>
              <w:t>Pauschal geschätzt</w:t>
            </w:r>
          </w:p>
        </w:tc>
        <w:tc>
          <w:tcPr>
            <w:tcW w:type="dxa" w:w="3024"/>
          </w:tcPr>
          <w:p>
            <w:r>
              <w:rPr>
                <w:rFonts w:ascii="Times New Roman" w:hAnsi="Times New Roman"/>
                <w:sz w:val="20"/>
              </w:rPr>
              <w:t>5.800,00 EUR</w:t>
            </w:r>
          </w:p>
        </w:tc>
      </w:tr>
      <w:tr>
        <w:tc>
          <w:tcPr>
            <w:tcW w:type="dxa" w:w="3024"/>
          </w:tcPr>
          <w:p>
            <w:r>
              <w:rPr>
                <w:rFonts w:ascii="Times New Roman" w:hAnsi="Times New Roman"/>
                <w:sz w:val="20"/>
              </w:rPr>
              <w:t>Verfahrensgebühren nach GKG (aus Verkehrswert 685.000,00 EUR)</w:t>
            </w:r>
          </w:p>
        </w:tc>
        <w:tc>
          <w:tcPr>
            <w:tcW w:type="dxa" w:w="3024"/>
          </w:tcPr>
          <w:p>
            <w:r>
              <w:rPr>
                <w:rFonts w:ascii="Times New Roman" w:hAnsi="Times New Roman"/>
                <w:sz w:val="20"/>
              </w:rPr>
              <w:t>3,0-facher Gebührensatz</w:t>
            </w:r>
          </w:p>
        </w:tc>
        <w:tc>
          <w:tcPr>
            <w:tcW w:type="dxa" w:w="3024"/>
          </w:tcPr>
          <w:p>
            <w:r>
              <w:rPr>
                <w:rFonts w:ascii="Times New Roman" w:hAnsi="Times New Roman"/>
                <w:sz w:val="20"/>
              </w:rPr>
              <w:t>7.242,00 EUR</w:t>
            </w:r>
          </w:p>
        </w:tc>
      </w:tr>
      <w:tr>
        <w:tc>
          <w:tcPr>
            <w:tcW w:type="dxa" w:w="3024"/>
          </w:tcPr>
          <w:p>
            <w:r>
              <w:rPr>
                <w:rFonts w:ascii="Times New Roman" w:hAnsi="Times New Roman"/>
                <w:sz w:val="20"/>
              </w:rPr>
              <w:t>Sonstige Verfahrensauslagen (Gutachten, Zustellungen, Bekanntmachungen)</w:t>
            </w:r>
          </w:p>
        </w:tc>
        <w:tc>
          <w:tcPr>
            <w:tcW w:type="dxa" w:w="3024"/>
          </w:tcPr>
          <w:p>
            <w:r>
              <w:rPr>
                <w:rFonts w:ascii="Times New Roman" w:hAnsi="Times New Roman"/>
                <w:sz w:val="20"/>
              </w:rPr>
              <w:t>Geschätzt</w:t>
            </w:r>
          </w:p>
        </w:tc>
        <w:tc>
          <w:tcPr>
            <w:tcW w:type="dxa" w:w="3024"/>
          </w:tcPr>
          <w:p>
            <w:r>
              <w:rPr>
                <w:rFonts w:ascii="Times New Roman" w:hAnsi="Times New Roman"/>
                <w:sz w:val="20"/>
              </w:rPr>
              <w:t>2.200,00 EUR</w:t>
            </w:r>
          </w:p>
        </w:tc>
      </w:tr>
      <w:tr>
        <w:tc>
          <w:tcPr>
            <w:tcW w:type="dxa" w:w="3024"/>
          </w:tcPr>
          <w:p>
            <w:r>
              <w:rPr>
                <w:rFonts w:ascii="Times New Roman" w:hAnsi="Times New Roman"/>
                <w:sz w:val="20"/>
              </w:rPr>
              <w:t>Zinsen bestehenbleibende Rechte</w:t>
            </w:r>
          </w:p>
        </w:tc>
        <w:tc>
          <w:tcPr>
            <w:tcW w:type="dxa" w:w="3024"/>
          </w:tcPr>
          <w:p>
            <w:r>
              <w:rPr>
                <w:rFonts w:ascii="Times New Roman" w:hAnsi="Times New Roman"/>
                <w:sz w:val="20"/>
              </w:rPr>
              <w:t>Keine (s.o.)</w:t>
            </w:r>
          </w:p>
        </w:tc>
        <w:tc>
          <w:tcPr>
            <w:tcW w:type="dxa" w:w="3024"/>
          </w:tcPr>
          <w:p>
            <w:r>
              <w:rPr>
                <w:rFonts w:ascii="Times New Roman" w:hAnsi="Times New Roman"/>
                <w:sz w:val="20"/>
              </w:rPr>
              <w:t>0,00 EUR</w:t>
            </w:r>
          </w:p>
        </w:tc>
      </w:tr>
      <w:tr>
        <w:tc>
          <w:tcPr>
            <w:tcW w:type="dxa" w:w="3024"/>
          </w:tcPr>
          <w:p>
            <w:r>
              <w:rPr>
                <w:rFonts w:ascii="Times New Roman" w:hAnsi="Times New Roman"/>
                <w:b/>
                <w:sz w:val="20"/>
              </w:rPr>
              <w:t>Summe Mindest-Bargebot (Schätzung)</w:t>
            </w:r>
          </w:p>
        </w:tc>
        <w:tc>
          <w:tcPr>
            <w:tcW w:type="dxa" w:w="3024"/>
          </w:tcPr>
          <w:p/>
        </w:tc>
        <w:tc>
          <w:tcPr>
            <w:tcW w:type="dxa" w:w="3024"/>
          </w:tcPr>
          <w:p>
            <w:r>
              <w:rPr>
                <w:rFonts w:ascii="Times New Roman" w:hAnsi="Times New Roman"/>
                <w:b/>
                <w:sz w:val="20"/>
              </w:rPr>
              <w:t>15.242,00 EUR</w:t>
            </w:r>
          </w:p>
        </w:tc>
      </w:tr>
    </w:tbl>
    <w:p>
      <w:pPr>
        <w:ind w:left="567"/>
      </w:pPr>
      <w:r>
        <w:rPr>
          <w:b/>
          <w:i/>
        </w:rPr>
        <w:t>Hinweis:</w:t>
      </w:r>
      <w:r>
        <w:rPr>
          <w:i/>
        </w:rPr>
        <w:t xml:space="preserve"> Der tatsächliche Betrag wird im Termin vom Rechtspfleger festgestellt. Diese Schätzung dient ausschließlich der Vorbereitung.</w:t>
      </w:r>
    </w:p>
    <w:p/>
    <w:p>
      <w:pPr>
        <w:pStyle w:val="Heading2"/>
      </w:pPr>
      <w:r>
        <w:rPr>
          <w:rFonts w:ascii="Times New Roman" w:hAnsi="Times New Roman"/>
        </w:rPr>
        <w:t>4. Schutzgrenzen nach §§ 74a, 85a ZVG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Grenze</w:t>
            </w:r>
          </w:p>
        </w:tc>
        <w:tc>
          <w:tcPr>
            <w:tcW w:type="dxa" w:w="2268"/>
          </w:tcPr>
          <w:p>
            <w:r>
              <w:rPr>
                <w:rFonts w:ascii="Times New Roman" w:hAnsi="Times New Roman"/>
                <w:b/>
                <w:sz w:val="20"/>
              </w:rPr>
              <w:t>Berechnung</w:t>
            </w:r>
          </w:p>
        </w:tc>
        <w:tc>
          <w:tcPr>
            <w:tcW w:type="dxa" w:w="2268"/>
          </w:tcPr>
          <w:p>
            <w:r>
              <w:rPr>
                <w:rFonts w:ascii="Times New Roman" w:hAnsi="Times New Roman"/>
                <w:b/>
                <w:sz w:val="20"/>
              </w:rPr>
              <w:t>Betrag</w:t>
            </w:r>
          </w:p>
        </w:tc>
        <w:tc>
          <w:tcPr>
            <w:tcW w:type="dxa" w:w="2268"/>
          </w:tcPr>
          <w:p>
            <w:r>
              <w:rPr>
                <w:rFonts w:ascii="Times New Roman" w:hAnsi="Times New Roman"/>
                <w:b/>
                <w:sz w:val="20"/>
              </w:rPr>
              <w:t>Zweck</w:t>
            </w:r>
          </w:p>
        </w:tc>
      </w:tr>
      <w:tr>
        <w:tc>
          <w:tcPr>
            <w:tcW w:type="dxa" w:w="2268"/>
          </w:tcPr>
          <w:p>
            <w:r>
              <w:rPr>
                <w:rFonts w:ascii="Times New Roman" w:hAnsi="Times New Roman"/>
                <w:sz w:val="20"/>
              </w:rPr>
              <w:t>7/10-Grenze</w:t>
            </w:r>
          </w:p>
        </w:tc>
        <w:tc>
          <w:tcPr>
            <w:tcW w:type="dxa" w:w="2268"/>
          </w:tcPr>
          <w:p>
            <w:r>
              <w:rPr>
                <w:rFonts w:ascii="Times New Roman" w:hAnsi="Times New Roman"/>
                <w:sz w:val="20"/>
              </w:rPr>
              <w:t>685.000,00 EUR × 70 %</w:t>
            </w:r>
          </w:p>
        </w:tc>
        <w:tc>
          <w:tcPr>
            <w:tcW w:type="dxa" w:w="2268"/>
          </w:tcPr>
          <w:p>
            <w:r>
              <w:rPr>
                <w:rFonts w:ascii="Times New Roman" w:hAnsi="Times New Roman"/>
                <w:b/>
                <w:sz w:val="20"/>
              </w:rPr>
              <w:t>479.500,00 EUR</w:t>
            </w:r>
          </w:p>
        </w:tc>
        <w:tc>
          <w:tcPr>
            <w:tcW w:type="dxa" w:w="2268"/>
          </w:tcPr>
          <w:p>
            <w:r>
              <w:rPr>
                <w:rFonts w:ascii="Times New Roman" w:hAnsi="Times New Roman"/>
                <w:sz w:val="20"/>
              </w:rPr>
              <w:t>Unterschreitung: Versagungsantrag möglich (§ 74a Abs. 1 ZVG) – nur in erstem Termin</w:t>
            </w:r>
          </w:p>
        </w:tc>
      </w:tr>
      <w:tr>
        <w:tc>
          <w:tcPr>
            <w:tcW w:type="dxa" w:w="2268"/>
          </w:tcPr>
          <w:p>
            <w:r>
              <w:rPr>
                <w:rFonts w:ascii="Times New Roman" w:hAnsi="Times New Roman"/>
                <w:sz w:val="20"/>
              </w:rPr>
              <w:t>5/10-Grenze</w:t>
            </w:r>
          </w:p>
        </w:tc>
        <w:tc>
          <w:tcPr>
            <w:tcW w:type="dxa" w:w="2268"/>
          </w:tcPr>
          <w:p>
            <w:r>
              <w:rPr>
                <w:rFonts w:ascii="Times New Roman" w:hAnsi="Times New Roman"/>
                <w:sz w:val="20"/>
              </w:rPr>
              <w:t>685.000,00 EUR × 50 %</w:t>
            </w:r>
          </w:p>
        </w:tc>
        <w:tc>
          <w:tcPr>
            <w:tcW w:type="dxa" w:w="2268"/>
          </w:tcPr>
          <w:p>
            <w:r>
              <w:rPr>
                <w:rFonts w:ascii="Times New Roman" w:hAnsi="Times New Roman"/>
                <w:b/>
                <w:sz w:val="20"/>
              </w:rPr>
              <w:t>342.500,00 EUR</w:t>
            </w:r>
          </w:p>
        </w:tc>
        <w:tc>
          <w:tcPr>
            <w:tcW w:type="dxa" w:w="2268"/>
          </w:tcPr>
          <w:p>
            <w:r>
              <w:rPr>
                <w:rFonts w:ascii="Times New Roman" w:hAnsi="Times New Roman"/>
                <w:sz w:val="20"/>
              </w:rPr>
              <w:t>Zuschlag zwingend zu versagen (§ 85a Abs. 1 ZVG) – auch bei Versagungsantrag</w:t>
            </w:r>
          </w:p>
        </w:tc>
      </w:tr>
    </w:tbl>
    <w:p>
      <w:pPr>
        <w:jc w:val="left"/>
      </w:pPr>
      <w:r>
        <w:rPr>
          <w:b/>
        </w:rPr>
        <w:t>Wichtig:</w:t>
      </w:r>
      <w:r>
        <w:t xml:space="preserve"> Die 7/10-Grenze gilt nur im </w:t>
      </w:r>
      <w:r>
        <w:rPr>
          <w:b/>
        </w:rPr>
        <w:t>ersten Versteigerungstermin</w:t>
      </w:r>
      <w:r>
        <w:t>. Im Folgetermin (§ 74a Abs. 2 ZVG) entfällt dieser Schutz. Die 5/10-Grenze gilt dagegen in allen Terminen, solange ein Gläubiger keinen Verzichtsbeschluss beantragt hat.</w:t>
      </w:r>
    </w:p>
    <w:p/>
    <w:p>
      <w:pPr>
        <w:pStyle w:val="Heading2"/>
      </w:pPr>
      <w:r>
        <w:rPr>
          <w:rFonts w:ascii="Times New Roman" w:hAnsi="Times New Roman"/>
        </w:rPr>
        <w:t>5. Wirtschaftliches Bietlimit (Abgrenzung)</w:t>
      </w:r>
    </w:p>
    <w:p>
      <w:pPr>
        <w:jc w:val="left"/>
      </w:pPr>
      <w:r>
        <w:t xml:space="preserve">Das </w:t>
      </w:r>
      <w:r>
        <w:rPr>
          <w:b/>
        </w:rPr>
        <w:t>wirtschaftliche Bietlimit</w:t>
      </w:r>
      <w:r>
        <w:t xml:space="preserve"> ist keine Rechtsgröße, sondern die intern kalkulierte Maximalgrenze eines Bieters. Es ist stets höher als das geringste Gebot.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Verkehrswert (Gutachten)</w:t>
            </w:r>
          </w:p>
        </w:tc>
        <w:tc>
          <w:tcPr>
            <w:tcW w:type="dxa" w:w="4536"/>
          </w:tcPr>
          <w:p>
            <w:r>
              <w:rPr>
                <w:rFonts w:ascii="Times New Roman" w:hAnsi="Times New Roman"/>
                <w:sz w:val="20"/>
              </w:rPr>
              <w:t>685.000,00 EUR</w:t>
            </w:r>
          </w:p>
        </w:tc>
      </w:tr>
      <w:tr>
        <w:tc>
          <w:tcPr>
            <w:tcW w:type="dxa" w:w="4536"/>
          </w:tcPr>
          <w:p>
            <w:r>
              <w:rPr>
                <w:rFonts w:ascii="Times New Roman" w:hAnsi="Times New Roman"/>
                <w:sz w:val="20"/>
              </w:rPr>
              <w:t>./. Risikoabschlag Innenzustand (keine Innenbesichtigung)</w:t>
            </w:r>
          </w:p>
        </w:tc>
        <w:tc>
          <w:tcPr>
            <w:tcW w:type="dxa" w:w="4536"/>
          </w:tcPr>
          <w:p>
            <w:r>
              <w:rPr>
                <w:rFonts w:ascii="Times New Roman" w:hAnsi="Times New Roman"/>
                <w:sz w:val="20"/>
              </w:rPr>
              <w:t>-45.000,00 EUR</w:t>
            </w:r>
          </w:p>
        </w:tc>
      </w:tr>
      <w:tr>
        <w:tc>
          <w:tcPr>
            <w:tcW w:type="dxa" w:w="4536"/>
          </w:tcPr>
          <w:p>
            <w:r>
              <w:rPr>
                <w:rFonts w:ascii="Times New Roman" w:hAnsi="Times New Roman"/>
                <w:sz w:val="20"/>
              </w:rPr>
              <w:t>./. Risikoabschlag Miet-/Nutzungsunklarheit</w:t>
            </w:r>
          </w:p>
        </w:tc>
        <w:tc>
          <w:tcPr>
            <w:tcW w:type="dxa" w:w="4536"/>
          </w:tcPr>
          <w:p>
            <w:r>
              <w:rPr>
                <w:rFonts w:ascii="Times New Roman" w:hAnsi="Times New Roman"/>
                <w:sz w:val="20"/>
              </w:rPr>
              <w:t>-25.000,00 EUR</w:t>
            </w:r>
          </w:p>
        </w:tc>
      </w:tr>
      <w:tr>
        <w:tc>
          <w:tcPr>
            <w:tcW w:type="dxa" w:w="4536"/>
          </w:tcPr>
          <w:p>
            <w:r>
              <w:rPr>
                <w:rFonts w:ascii="Times New Roman" w:hAnsi="Times New Roman"/>
                <w:sz w:val="20"/>
              </w:rPr>
              <w:t>./. WEG-Sonderumlage und Instandhaltungsreserve</w:t>
            </w:r>
          </w:p>
        </w:tc>
        <w:tc>
          <w:tcPr>
            <w:tcW w:type="dxa" w:w="4536"/>
          </w:tcPr>
          <w:p>
            <w:r>
              <w:rPr>
                <w:rFonts w:ascii="Times New Roman" w:hAnsi="Times New Roman"/>
                <w:sz w:val="20"/>
              </w:rPr>
              <w:t>-35.000,00 EUR</w:t>
            </w:r>
          </w:p>
        </w:tc>
      </w:tr>
      <w:tr>
        <w:tc>
          <w:tcPr>
            <w:tcW w:type="dxa" w:w="4536"/>
          </w:tcPr>
          <w:p>
            <w:r>
              <w:rPr>
                <w:rFonts w:ascii="Times New Roman" w:hAnsi="Times New Roman"/>
                <w:sz w:val="20"/>
              </w:rPr>
              <w:t>./. Erwerbsnebenkosten und Finanzierungspuffer</w:t>
            </w:r>
          </w:p>
        </w:tc>
        <w:tc>
          <w:tcPr>
            <w:tcW w:type="dxa" w:w="4536"/>
          </w:tcPr>
          <w:p>
            <w:r>
              <w:rPr>
                <w:rFonts w:ascii="Times New Roman" w:hAnsi="Times New Roman"/>
                <w:sz w:val="20"/>
              </w:rPr>
              <w:t>-55.000,00 EUR</w:t>
            </w:r>
          </w:p>
        </w:tc>
      </w:tr>
      <w:tr>
        <w:tc>
          <w:tcPr>
            <w:tcW w:type="dxa" w:w="4536"/>
          </w:tcPr>
          <w:p>
            <w:r>
              <w:rPr>
                <w:rFonts w:ascii="Times New Roman" w:hAnsi="Times New Roman"/>
                <w:b/>
                <w:sz w:val="20"/>
              </w:rPr>
              <w:t>Hartes internes Bietlimit</w:t>
            </w:r>
          </w:p>
        </w:tc>
        <w:tc>
          <w:tcPr>
            <w:tcW w:type="dxa" w:w="4536"/>
          </w:tcPr>
          <w:p>
            <w:r>
              <w:rPr>
                <w:rFonts w:ascii="Times New Roman" w:hAnsi="Times New Roman"/>
                <w:b/>
                <w:sz w:val="20"/>
              </w:rPr>
              <w:t>525.000,00 EUR</w:t>
            </w:r>
          </w:p>
        </w:tc>
      </w:tr>
    </w:tbl>
    <w:p/>
    <w:p>
      <w:pPr>
        <w:pStyle w:val="Heading2"/>
      </w:pPr>
      <w:r>
        <w:rPr>
          <w:rFonts w:ascii="Times New Roman" w:hAnsi="Times New Roman"/>
        </w:rPr>
        <w:t>6. Zusammenfassung Übersicht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Kenngröße</w:t>
            </w:r>
          </w:p>
        </w:tc>
        <w:tc>
          <w:tcPr>
            <w:tcW w:type="dxa" w:w="3024"/>
          </w:tcPr>
          <w:p>
            <w:r>
              <w:rPr>
                <w:rFonts w:ascii="Times New Roman" w:hAnsi="Times New Roman"/>
                <w:b/>
                <w:sz w:val="20"/>
              </w:rPr>
              <w:t>Betrag</w:t>
            </w:r>
          </w:p>
        </w:tc>
        <w:tc>
          <w:tcPr>
            <w:tcW w:type="dxa" w:w="3024"/>
          </w:tcPr>
          <w:p>
            <w:r>
              <w:rPr>
                <w:rFonts w:ascii="Times New Roman" w:hAnsi="Times New Roman"/>
                <w:b/>
                <w:sz w:val="20"/>
              </w:rPr>
              <w:t>Rechtsgrundlage</w:t>
            </w:r>
          </w:p>
        </w:tc>
      </w:tr>
      <w:tr>
        <w:tc>
          <w:tcPr>
            <w:tcW w:type="dxa" w:w="3024"/>
          </w:tcPr>
          <w:p>
            <w:r>
              <w:rPr>
                <w:rFonts w:ascii="Times New Roman" w:hAnsi="Times New Roman"/>
                <w:sz w:val="20"/>
              </w:rPr>
              <w:t>Verkehrswert</w:t>
            </w:r>
          </w:p>
        </w:tc>
        <w:tc>
          <w:tcPr>
            <w:tcW w:type="dxa" w:w="3024"/>
          </w:tcPr>
          <w:p>
            <w:r>
              <w:rPr>
                <w:rFonts w:ascii="Times New Roman" w:hAnsi="Times New Roman"/>
                <w:sz w:val="20"/>
              </w:rPr>
              <w:t>685.000,00 EUR</w:t>
            </w:r>
          </w:p>
        </w:tc>
        <w:tc>
          <w:tcPr>
            <w:tcW w:type="dxa" w:w="3024"/>
          </w:tcPr>
          <w:p>
            <w:r>
              <w:rPr>
                <w:rFonts w:ascii="Times New Roman" w:hAnsi="Times New Roman"/>
                <w:sz w:val="20"/>
              </w:rPr>
              <w:t>§ 74a ZVG</w:t>
            </w:r>
          </w:p>
        </w:tc>
      </w:tr>
      <w:tr>
        <w:tc>
          <w:tcPr>
            <w:tcW w:type="dxa" w:w="3024"/>
          </w:tcPr>
          <w:p>
            <w:r>
              <w:rPr>
                <w:rFonts w:ascii="Times New Roman" w:hAnsi="Times New Roman"/>
                <w:sz w:val="20"/>
              </w:rPr>
              <w:t>Geringstes Gebot (geschätzt)</w:t>
            </w:r>
          </w:p>
        </w:tc>
        <w:tc>
          <w:tcPr>
            <w:tcW w:type="dxa" w:w="3024"/>
          </w:tcPr>
          <w:p>
            <w:r>
              <w:rPr>
                <w:rFonts w:ascii="Times New Roman" w:hAnsi="Times New Roman"/>
                <w:sz w:val="20"/>
              </w:rPr>
              <w:t>≈ 15.242,00 EUR</w:t>
            </w:r>
          </w:p>
        </w:tc>
        <w:tc>
          <w:tcPr>
            <w:tcW w:type="dxa" w:w="3024"/>
          </w:tcPr>
          <w:p>
            <w:r>
              <w:rPr>
                <w:rFonts w:ascii="Times New Roman" w:hAnsi="Times New Roman"/>
                <w:sz w:val="20"/>
              </w:rPr>
              <w:t>§ 49 ZVG</w:t>
            </w:r>
          </w:p>
        </w:tc>
      </w:tr>
      <w:tr>
        <w:tc>
          <w:tcPr>
            <w:tcW w:type="dxa" w:w="3024"/>
          </w:tcPr>
          <w:p>
            <w:r>
              <w:rPr>
                <w:rFonts w:ascii="Times New Roman" w:hAnsi="Times New Roman"/>
                <w:sz w:val="20"/>
              </w:rPr>
              <w:t>5/10-Grenze</w:t>
            </w:r>
          </w:p>
        </w:tc>
        <w:tc>
          <w:tcPr>
            <w:tcW w:type="dxa" w:w="3024"/>
          </w:tcPr>
          <w:p>
            <w:r>
              <w:rPr>
                <w:rFonts w:ascii="Times New Roman" w:hAnsi="Times New Roman"/>
                <w:sz w:val="20"/>
              </w:rPr>
              <w:t>342.500,00 EUR</w:t>
            </w:r>
          </w:p>
        </w:tc>
        <w:tc>
          <w:tcPr>
            <w:tcW w:type="dxa" w:w="3024"/>
          </w:tcPr>
          <w:p>
            <w:r>
              <w:rPr>
                <w:rFonts w:ascii="Times New Roman" w:hAnsi="Times New Roman"/>
                <w:sz w:val="20"/>
              </w:rPr>
              <w:t>§ 85a ZVG</w:t>
            </w:r>
          </w:p>
        </w:tc>
      </w:tr>
      <w:tr>
        <w:tc>
          <w:tcPr>
            <w:tcW w:type="dxa" w:w="3024"/>
          </w:tcPr>
          <w:p>
            <w:r>
              <w:rPr>
                <w:rFonts w:ascii="Times New Roman" w:hAnsi="Times New Roman"/>
                <w:sz w:val="20"/>
              </w:rPr>
              <w:t>7/10-Grenze</w:t>
            </w:r>
          </w:p>
        </w:tc>
        <w:tc>
          <w:tcPr>
            <w:tcW w:type="dxa" w:w="3024"/>
          </w:tcPr>
          <w:p>
            <w:r>
              <w:rPr>
                <w:rFonts w:ascii="Times New Roman" w:hAnsi="Times New Roman"/>
                <w:sz w:val="20"/>
              </w:rPr>
              <w:t>479.500,00 EUR</w:t>
            </w:r>
          </w:p>
        </w:tc>
        <w:tc>
          <w:tcPr>
            <w:tcW w:type="dxa" w:w="3024"/>
          </w:tcPr>
          <w:p>
            <w:r>
              <w:rPr>
                <w:rFonts w:ascii="Times New Roman" w:hAnsi="Times New Roman"/>
                <w:sz w:val="20"/>
              </w:rPr>
              <w:t>§ 74a ZVG</w:t>
            </w:r>
          </w:p>
        </w:tc>
      </w:tr>
      <w:tr>
        <w:tc>
          <w:tcPr>
            <w:tcW w:type="dxa" w:w="3024"/>
          </w:tcPr>
          <w:p>
            <w:r>
              <w:rPr>
                <w:rFonts w:ascii="Times New Roman" w:hAnsi="Times New Roman"/>
                <w:sz w:val="20"/>
              </w:rPr>
              <w:t>Internes Bietlimit</w:t>
            </w:r>
          </w:p>
        </w:tc>
        <w:tc>
          <w:tcPr>
            <w:tcW w:type="dxa" w:w="3024"/>
          </w:tcPr>
          <w:p>
            <w:r>
              <w:rPr>
                <w:rFonts w:ascii="Times New Roman" w:hAnsi="Times New Roman"/>
                <w:sz w:val="20"/>
              </w:rPr>
              <w:t>525.000,00 EUR</w:t>
            </w:r>
          </w:p>
        </w:tc>
        <w:tc>
          <w:tcPr>
            <w:tcW w:type="dxa" w:w="3024"/>
          </w:tcPr>
          <w:p>
            <w:r>
              <w:rPr>
                <w:rFonts w:ascii="Times New Roman" w:hAnsi="Times New Roman"/>
                <w:sz w:val="20"/>
              </w:rPr>
              <w:t>Intern (vgl. 06_bieterangebot_bewertung.md)</w:t>
            </w:r>
          </w:p>
        </w:tc>
      </w:tr>
      <w:tr>
        <w:tc>
          <w:tcPr>
            <w:tcW w:type="dxa" w:w="3024"/>
          </w:tcPr>
          <w:p>
            <w:r>
              <w:rPr>
                <w:rFonts w:ascii="Times New Roman" w:hAnsi="Times New Roman"/>
                <w:sz w:val="20"/>
              </w:rPr>
              <w:t>Sicherheitsleistung</w:t>
            </w:r>
          </w:p>
        </w:tc>
        <w:tc>
          <w:tcPr>
            <w:tcW w:type="dxa" w:w="3024"/>
          </w:tcPr>
          <w:p>
            <w:r>
              <w:rPr>
                <w:rFonts w:ascii="Times New Roman" w:hAnsi="Times New Roman"/>
                <w:sz w:val="20"/>
              </w:rPr>
              <w:t>68.500,00 EUR</w:t>
            </w:r>
          </w:p>
        </w:tc>
        <w:tc>
          <w:tcPr>
            <w:tcW w:type="dxa" w:w="3024"/>
          </w:tcPr>
          <w:p>
            <w:r>
              <w:rPr>
                <w:rFonts w:ascii="Times New Roman" w:hAnsi="Times New Roman"/>
                <w:sz w:val="20"/>
              </w:rPr>
              <w:t>§ 67 ZVG</w:t>
            </w:r>
          </w:p>
        </w:tc>
      </w:tr>
    </w:tbl>
    <w:p/>
    <w:p>
      <w:pPr>
        <w:pStyle w:val="Heading2"/>
      </w:pPr>
      <w:r>
        <w:rPr>
          <w:rFonts w:ascii="Times New Roman" w:hAnsi="Times New Roman"/>
        </w:rPr>
        <w:t>7. Anmerkungen für junge Anwälte</w:t>
      </w:r>
    </w:p>
    <w:p>
      <w:pPr>
        <w:jc w:val="left"/>
      </w:pPr>
      <w:r>
        <w:rPr>
          <w:b/>
        </w:rPr>
        <w:t>Verwechslungsgefahr:</w:t>
      </w:r>
      <w:r>
        <w:t xml:space="preserve"> Der Begriff "Mindestgebot" wird im Volksmund oft fälschlich für das wirtschaftliche Bietlimit verwendet. Im ZVG bedeutet "geringstes Gebot" ausschließlich die gesetzliche Untergrenze nach § 49 ZVG – nicht das persönliche Maximalgebot.</w:t>
      </w:r>
    </w:p>
    <w:p>
      <w:pPr>
        <w:jc w:val="left"/>
      </w:pPr>
      <w:r>
        <w:rPr>
          <w:b/>
        </w:rPr>
        <w:t>Terminstrategie:</w:t>
      </w:r>
      <w:r>
        <w:t xml:space="preserve"> Wer das geringste Gebot bietet, erhält den Zuschlag nur, wenn kein anderer Bieter mehr geboten hat. Im Regelfall liegen die tatsächlichen Gebote weit über dem geringsten Gebot, wenn die Immobilie einen höheren Marktwert hat.</w:t>
      </w:r>
    </w:p>
    <w:p>
      <w:pPr>
        <w:jc w:val="left"/>
      </w:pPr>
      <w:r>
        <w:rPr>
          <w:b/>
        </w:rPr>
        <w:t>Bestehenbleibende Rechte:</w:t>
      </w:r>
      <w:r>
        <w:t xml:space="preserve"> In manchen Fällen – insbesondere wenn ein nachrangiger Gläubiger betreibt oder wenn vorrangige Rechte bestehen bleiben – kann das geringste Gebot erheblich höher liegen und den Erwerber wirtschaftlich massiv belasten. Diese Akte ist ein Beispiel, in dem nach vorläufiger Prüfung keine bestehenbleibenden Rechte bestehen – eine Prüfung, die zwingend vor dem Termin vorzunehmen ist.</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