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17_teilungsplan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Teilungsplan</w:t>
      </w:r>
    </w:p>
    <w:p>
      <w:pPr>
        <w:pStyle w:val="Heading3"/>
      </w:pPr>
      <w:r>
        <w:rPr>
          <w:rFonts w:ascii="Times New Roman" w:hAnsi="Times New Roman"/>
        </w:rPr>
        <w:t>Teilungsplan – Az. 71 K 18/26 · Amtsgericht Hamburg · Bargebot 534.000,00 EUR</w:t>
      </w:r>
    </w:p>
    <w:p>
      <w:pPr>
        <w:jc w:val="left"/>
      </w:pPr>
      <w:r>
        <w:t>_Objekt: WE Nr. 9, Eppendorfer Mühlenbogen 16, 20249 Hamburg · Versteigerungstermin: 16.07.2026_</w:t>
      </w:r>
    </w:p>
    <w:p>
      <w:pPr>
        <w:jc w:val="left"/>
      </w:pPr>
      <w:r>
        <w:t>_Die Rangklassen richten sich nach § 10 Abs. 1 ZVG. Höhere Rangklassen (niedrigere Zahlen) werden vor nachrangigen befriedigt._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Rang-&lt;br&gt;klasse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Gläubiger / Position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Angemeldete&lt;br&gt;Forderung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Zinsen /&lt;br&gt;Kosten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Anerkannt&lt;br&gt;(EUR)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Befriedigt&lt;br&gt;(EUR)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Restforderung&lt;br&gt;(EUR)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A. Erlösverteilung: Eingangsgröße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Bargebot (Erlös)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Zinsansprüche auf Bargebot (§ 49 Abs. 2 ZVG, Schätzung)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Verfügbare Teilungsmasse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B. Rangklasse 1 – Öffentliche Lasten (§ 10 Abs. 1 Nr. 1 ZVG)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Grundsteuer Hamburg 2025 ( Schätzung)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Grundsteuer Hamburg 2026 (anteilig Jan–Jul, Schätzung)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Summe Rangklasse 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1.965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1.965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1.965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C. Rangklasse 2 – Hausgeld WEG (§ 10 Abs. 1 Nr. 2 ZVG, max. 5 % VW = 34.250,00 EUR)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WEG Eppendorfer Mühlenbogen 16 – Hausgeld-Rückstände 2024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6.144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6.144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6.144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WEG – lfd. Hausgeld Jan–Jul 2026 (7 × 512 EUR, unbezahlt per Zuschlagstermin)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3.584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3.584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3.584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Zwangssicherungshypothek WEG (Abt. III Nr. 2, Kapital)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28.522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28.522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Kapital anerkannt soweit 5 %-Grenze nicht überschritten</w:t>
            </w:r>
          </w:p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Summe Rangklasse 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48.128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38.250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38.250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D. Rangklasse 4 – Kosten des Verfahrens (§ 10 Abs. 1 Nr. 4 ZVG)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Gerichtsgebühren (GKG, 3,0-facher Satz, Wert 685.000 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7.242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7.242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7.242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Gutachterhonorar Dipl.-Ing. Malkwitz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Gerichtliche Auslagen (Bekanntmachungen, Zustellungen)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Zwangsverwalterkosten (71 L 44/25, Schätzung)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7.232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7.232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7.232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Summe Rangklasse 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19.514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19.514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19.514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E. Rangklasse 5 – Grundpfandrecht betreibende Gläubigerin (§ 10 Abs. 1 Nr. 5 ZVG)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Nordelbe Kreditbank AG – Grundschuld Kapital (Abt. III Nr. 1)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520.000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Nordelbe Kreditbank AG – aufgelaufene Zinsen (Schätzung 4,5 % p.a. seit 2023)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42.120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42.120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Nordelbe Kreditbank AG – Vollstreckungskosten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8.450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8.450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Angemeldete Gesamtforderung Nordelbe KB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528.450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570.570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F. Verteilung des Resterlöses auf betreibende Gläubigerin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Verfügbare Masse nach Rang 1–4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-59.729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Nordelbe Kreditbank AG – Auszahlung (Resterlös)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-59.729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-59.729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630.299</w:t>
            </w:r>
          </w:p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Summe Rangklasse 5 (Befriedigung)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-59.729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-59.729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630.299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G. Ergebnis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Gesamterlös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Ausgekehrt an Gläubiger gesamt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Verbleibender Überschuss (§ 107 ZVG → Schuldner)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