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13 Folge-Mietverhältnis und Ankündigung — BGB-Pruefung</w:t>
      </w:r>
    </w:p>
    <w:p>
      <w:pPr>
        <w:jc w:val="left"/>
      </w:pPr>
      <w:r>
        <w:rPr>
          <w:b/>
        </w:rPr>
        <w:t>Akte:</w:t>
      </w:r>
      <w:r>
        <w:t xml:space="preserve"> MR-2026-ZV-0188</w:t>
      </w:r>
    </w:p>
    <w:p>
      <w:pPr>
        <w:jc w:val="left"/>
      </w:pPr>
      <w:r>
        <w:rPr>
          <w:b/>
        </w:rPr>
        <w:t>Datum:</w:t>
      </w:r>
      <w:r>
        <w:t xml:space="preserve"> 09.01.2026</w:t>
      </w:r>
    </w:p>
    <w:p/>
    <w:p>
      <w:pPr>
        <w:pStyle w:val="Heading2"/>
      </w:pPr>
      <w:r>
        <w:rPr>
          <w:rFonts w:ascii="Times New Roman" w:hAnsi="Times New Roman"/>
        </w:rPr>
        <w:t>Problemstellung</w:t>
      </w:r>
    </w:p>
    <w:p>
      <w:pPr>
        <w:jc w:val="left"/>
      </w:pPr>
      <w:r>
        <w:t xml:space="preserve">Nach der Raeumung durch GV Lattermann steht die Wohnung Eppendorfer Weg 188 1. OG links zur Neuvermieutng bereit. Die Mandantin möchte die Wohnung möglichst schnell weitervermieten (Zieldatum: 01.04.2026). Gleichzeitig stellt sich die Frage, ob das Bestehenbleiben der Schuldner in der Wohnung nach Kündigung und vor GV-Raeumung ein </w:t>
      </w:r>
      <w:r>
        <w:rPr>
          <w:b/>
        </w:rPr>
        <w:t>mietähnliches Verhältnis</w:t>
      </w:r>
      <w:r>
        <w:t xml:space="preserve"> oder eine </w:t>
      </w:r>
      <w:r>
        <w:rPr>
          <w:b/>
        </w:rPr>
        <w:t>Nutzungsentschädigung</w:t>
      </w:r>
      <w:r>
        <w:t xml:space="preserve"> begründet.</w:t>
      </w:r>
    </w:p>
    <w:p/>
    <w:p>
      <w:pPr>
        <w:pStyle w:val="Heading2"/>
      </w:pPr>
      <w:r>
        <w:rPr>
          <w:rFonts w:ascii="Times New Roman" w:hAnsi="Times New Roman"/>
        </w:rPr>
        <w:t>Rechtliche Einordnung nach Kündigung</w:t>
      </w:r>
    </w:p>
    <w:p>
      <w:pPr>
        <w:pStyle w:val="Heading3"/>
      </w:pPr>
      <w:r>
        <w:rPr>
          <w:rFonts w:ascii="Times New Roman" w:hAnsi="Times New Roman"/>
        </w:rPr>
        <w:t>1. Mietvertragsende und Nutzungsentschädigung</w:t>
      </w:r>
    </w:p>
    <w:p>
      <w:pPr>
        <w:jc w:val="left"/>
      </w:pPr>
      <w:r>
        <w:t xml:space="preserve">Die fristlose Kündigung vom 15.05.2025 und die hilfsweise fristgemaesse Kündigung vom 15.06.2025 haben das Mietverhältnis beendet. Mit Ablauf der Kündigungsfrist (31.07.2025 bei fristgemaesser Kündigung) schulden die Schuldner keine Miete mehr, aber eine </w:t>
      </w:r>
      <w:r>
        <w:rPr>
          <w:b/>
        </w:rPr>
        <w:t>Nutzungsentschädigung gemäß § 546a BGB</w:t>
      </w:r>
      <w:r>
        <w:t>:</w:t>
      </w:r>
    </w:p>
    <w:p>
      <w:pPr>
        <w:ind w:left="567"/>
      </w:pPr>
      <w:r>
        <w:rPr>
          <w:i/>
        </w:rPr>
        <w:t>§ 546a Abs. 1 BGB: Gibt der Mieter die Mietsache nach Beendigung des Mietverhältnisses nicht zurück, kann der Vermieter für die Dauer der Vorenthaltung als Entschädigung die vereinbarte Miete oder die Miete verlangen, die für vergleichbare Sachen oertsueblich ist.</w:t>
      </w:r>
    </w:p>
    <w:p>
      <w:pPr>
        <w:jc w:val="left"/>
      </w:pPr>
      <w:r>
        <w:rPr>
          <w:b/>
        </w:rPr>
        <w:t>Massgeblicher Zeitraum:</w:t>
      </w:r>
      <w:r>
        <w:t xml:space="preserve"> 01.08.2025 (nach Ablauf Kündigungsfrist) bis Raeumung (geplant: ca. Februar/März 2026) = ca. 7 Monate.</w:t>
      </w:r>
    </w:p>
    <w:p>
      <w:pPr>
        <w:jc w:val="left"/>
      </w:pPr>
      <w:r>
        <w:rPr>
          <w:b/>
        </w:rPr>
        <w:t>Nutzungsentschädigung:</w:t>
      </w:r>
      <w:r>
        <w:t xml:space="preserve"> 7 × 1.240 EUR = </w:t>
      </w:r>
      <w:r>
        <w:rPr>
          <w:b/>
        </w:rPr>
        <w:t>8.680 EUR</w:t>
      </w:r>
      <w:r>
        <w:t xml:space="preserve"> (noch nicht im Titel — Klageerweiterung oder separate Klage nötig).</w:t>
      </w:r>
    </w:p>
    <w:p>
      <w:pPr>
        <w:pStyle w:val="Heading3"/>
      </w:pPr>
      <w:r>
        <w:rPr>
          <w:rFonts w:ascii="Times New Roman" w:hAnsi="Times New Roman"/>
        </w:rPr>
        <w:t>2. Verhältnis zum Vollstreckungstitel</w:t>
      </w:r>
    </w:p>
    <w:p>
      <w:pPr>
        <w:jc w:val="left"/>
      </w:pPr>
      <w:r>
        <w:t xml:space="preserve">Der Vollstreckungstitel AG Hamburg-Altona 188 C 4711/25 tituliert 14.880 EUR Mietrückstand bis November 2025. Die Nutzungsentschädigung für Dezember 2025 bis Räumungsdatum ist </w:t>
      </w:r>
      <w:r>
        <w:rPr>
          <w:b/>
        </w:rPr>
        <w:t>nicht</w:t>
      </w:r>
      <w:r>
        <w:t xml:space="preserve"> im Titel enthalten — sie muss gesondert geltend gemacht werden.</w:t>
      </w:r>
    </w:p>
    <w:p>
      <w:pPr>
        <w:jc w:val="left"/>
      </w:pPr>
      <w:r>
        <w:rPr>
          <w:b/>
        </w:rPr>
        <w:t>Empfehlung:</w:t>
      </w:r>
      <w:r>
        <w:t xml:space="preserve"> Mahnbescheid / Klage für Nutzungsentschädigung ab Dezember 2025 einleiten.</w:t>
      </w:r>
    </w:p>
    <w:p/>
    <w:p>
      <w:pPr>
        <w:pStyle w:val="Heading2"/>
      </w:pPr>
      <w:r>
        <w:rPr>
          <w:rFonts w:ascii="Times New Roman" w:hAnsi="Times New Roman"/>
        </w:rPr>
        <w:t>Kündigung — Formale Wirksamkeitspruefung</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Kündigung</w:t>
            </w:r>
          </w:p>
        </w:tc>
        <w:tc>
          <w:tcPr>
            <w:tcW w:type="dxa" w:w="1814"/>
          </w:tcPr>
          <w:p>
            <w:r>
              <w:rPr>
                <w:rFonts w:ascii="Times New Roman" w:hAnsi="Times New Roman"/>
                <w:b/>
                <w:sz w:val="20"/>
              </w:rPr>
              <w:t>Datum</w:t>
            </w:r>
          </w:p>
        </w:tc>
        <w:tc>
          <w:tcPr>
            <w:tcW w:type="dxa" w:w="1814"/>
          </w:tcPr>
          <w:p>
            <w:r>
              <w:rPr>
                <w:rFonts w:ascii="Times New Roman" w:hAnsi="Times New Roman"/>
                <w:b/>
                <w:sz w:val="20"/>
              </w:rPr>
              <w:t>Kündigungsgrund</w:t>
            </w:r>
          </w:p>
        </w:tc>
        <w:tc>
          <w:tcPr>
            <w:tcW w:type="dxa" w:w="1814"/>
          </w:tcPr>
          <w:p>
            <w:r>
              <w:rPr>
                <w:rFonts w:ascii="Times New Roman" w:hAnsi="Times New Roman"/>
                <w:b/>
                <w:sz w:val="20"/>
              </w:rPr>
              <w:t>Formvorschrift § 568 BGB</w:t>
            </w:r>
          </w:p>
        </w:tc>
        <w:tc>
          <w:tcPr>
            <w:tcW w:type="dxa" w:w="1814"/>
          </w:tcPr>
          <w:p>
            <w:r>
              <w:rPr>
                <w:rFonts w:ascii="Times New Roman" w:hAnsi="Times New Roman"/>
                <w:b/>
                <w:sz w:val="20"/>
              </w:rPr>
              <w:t>Wirksam</w:t>
            </w:r>
          </w:p>
        </w:tc>
      </w:tr>
      <w:tr>
        <w:tc>
          <w:tcPr>
            <w:tcW w:type="dxa" w:w="1814"/>
          </w:tcPr>
          <w:p>
            <w:r>
              <w:rPr>
                <w:rFonts w:ascii="Times New Roman" w:hAnsi="Times New Roman"/>
                <w:sz w:val="20"/>
              </w:rPr>
              <w:t>Fristlose Kündigung</w:t>
            </w:r>
          </w:p>
        </w:tc>
        <w:tc>
          <w:tcPr>
            <w:tcW w:type="dxa" w:w="1814"/>
          </w:tcPr>
          <w:p>
            <w:r>
              <w:rPr>
                <w:rFonts w:ascii="Times New Roman" w:hAnsi="Times New Roman"/>
                <w:sz w:val="20"/>
              </w:rPr>
              <w:t>15.05.2025</w:t>
            </w:r>
          </w:p>
        </w:tc>
        <w:tc>
          <w:tcPr>
            <w:tcW w:type="dxa" w:w="1814"/>
          </w:tcPr>
          <w:p>
            <w:r>
              <w:rPr>
                <w:rFonts w:ascii="Times New Roman" w:hAnsi="Times New Roman"/>
                <w:sz w:val="20"/>
              </w:rPr>
              <w:t>§ 543 Abs. 2 Nr. 3 BGB (Mietrückstand &gt; 2 Monatsmieten)</w:t>
            </w:r>
          </w:p>
        </w:tc>
        <w:tc>
          <w:tcPr>
            <w:tcW w:type="dxa" w:w="1814"/>
          </w:tcPr>
          <w:p>
            <w:r>
              <w:rPr>
                <w:rFonts w:ascii="Times New Roman" w:hAnsi="Times New Roman"/>
                <w:sz w:val="20"/>
              </w:rPr>
              <w:t>Schriftlich, Bote</w:t>
            </w:r>
          </w:p>
        </w:tc>
        <w:tc>
          <w:tcPr>
            <w:tcW w:type="dxa" w:w="1814"/>
          </w:tcPr>
          <w:p>
            <w:r>
              <w:rPr>
                <w:rFonts w:ascii="Times New Roman" w:hAnsi="Times New Roman"/>
                <w:sz w:val="20"/>
              </w:rPr>
              <w:t>✓</w:t>
            </w:r>
          </w:p>
        </w:tc>
      </w:tr>
      <w:tr>
        <w:tc>
          <w:tcPr>
            <w:tcW w:type="dxa" w:w="1814"/>
          </w:tcPr>
          <w:p>
            <w:r>
              <w:rPr>
                <w:rFonts w:ascii="Times New Roman" w:hAnsi="Times New Roman"/>
                <w:sz w:val="20"/>
              </w:rPr>
              <w:t>Hilfsweise fristgemaesse</w:t>
            </w:r>
          </w:p>
        </w:tc>
        <w:tc>
          <w:tcPr>
            <w:tcW w:type="dxa" w:w="1814"/>
          </w:tcPr>
          <w:p>
            <w:r>
              <w:rPr>
                <w:rFonts w:ascii="Times New Roman" w:hAnsi="Times New Roman"/>
                <w:sz w:val="20"/>
              </w:rPr>
              <w:t>15.06.2025</w:t>
            </w:r>
          </w:p>
        </w:tc>
        <w:tc>
          <w:tcPr>
            <w:tcW w:type="dxa" w:w="1814"/>
          </w:tcPr>
          <w:p>
            <w:r>
              <w:rPr>
                <w:rFonts w:ascii="Times New Roman" w:hAnsi="Times New Roman"/>
                <w:sz w:val="20"/>
              </w:rPr>
              <w:t>§ 573 Abs. 2 Nr. 1 BGB (schuldhafter Verzug)</w:t>
            </w:r>
          </w:p>
        </w:tc>
        <w:tc>
          <w:tcPr>
            <w:tcW w:type="dxa" w:w="1814"/>
          </w:tcPr>
          <w:p>
            <w:r>
              <w:rPr>
                <w:rFonts w:ascii="Times New Roman" w:hAnsi="Times New Roman"/>
                <w:sz w:val="20"/>
              </w:rPr>
              <w:t>Schriftlich</w:t>
            </w:r>
          </w:p>
        </w:tc>
        <w:tc>
          <w:tcPr>
            <w:tcW w:type="dxa" w:w="1814"/>
          </w:tcPr>
          <w:p>
            <w:r>
              <w:rPr>
                <w:rFonts w:ascii="Times New Roman" w:hAnsi="Times New Roman"/>
                <w:sz w:val="20"/>
              </w:rPr>
              <w:t>✓</w:t>
            </w:r>
          </w:p>
        </w:tc>
      </w:tr>
      <w:tr>
        <w:tc>
          <w:tcPr>
            <w:tcW w:type="dxa" w:w="1814"/>
          </w:tcPr>
          <w:p>
            <w:r>
              <w:rPr>
                <w:rFonts w:ascii="Times New Roman" w:hAnsi="Times New Roman"/>
                <w:sz w:val="20"/>
              </w:rPr>
              <w:t>Abmahnung vor fristloser Kündigung</w:t>
            </w:r>
          </w:p>
        </w:tc>
        <w:tc>
          <w:tcPr>
            <w:tcW w:type="dxa" w:w="1814"/>
          </w:tcPr>
          <w:p>
            <w:r>
              <w:rPr>
                <w:rFonts w:ascii="Times New Roman" w:hAnsi="Times New Roman"/>
                <w:sz w:val="20"/>
              </w:rPr>
              <w:t>nein (nicht erforderlich bei § 543 Abs. 2 Nr. 3 BGB)</w:t>
            </w:r>
          </w:p>
        </w:tc>
        <w:tc>
          <w:tcPr>
            <w:tcW w:type="dxa" w:w="1814"/>
          </w:tcPr>
          <w:p>
            <w:r>
              <w:rPr>
                <w:rFonts w:ascii="Times New Roman" w:hAnsi="Times New Roman"/>
                <w:sz w:val="20"/>
              </w:rPr>
              <w:t>entfällt</w:t>
            </w:r>
          </w:p>
        </w:tc>
        <w:tc>
          <w:tcPr>
            <w:tcW w:type="dxa" w:w="1814"/>
          </w:tcPr>
          <w:p>
            <w:r>
              <w:rPr>
                <w:rFonts w:ascii="Times New Roman" w:hAnsi="Times New Roman"/>
                <w:sz w:val="20"/>
              </w:rPr>
              <w:t>—</w:t>
            </w:r>
          </w:p>
        </w:tc>
        <w:tc>
          <w:tcPr>
            <w:tcW w:type="dxa" w:w="1814"/>
          </w:tcPr>
          <w:p>
            <w:r>
              <w:rPr>
                <w:rFonts w:ascii="Times New Roman" w:hAnsi="Times New Roman"/>
                <w:sz w:val="20"/>
              </w:rPr>
              <w:t>✓</w:t>
            </w:r>
          </w:p>
        </w:tc>
      </w:tr>
    </w:tbl>
    <w:p/>
    <w:p>
      <w:pPr>
        <w:pStyle w:val="Heading2"/>
      </w:pPr>
      <w:r>
        <w:rPr>
          <w:rFonts w:ascii="Times New Roman" w:hAnsi="Times New Roman"/>
        </w:rPr>
        <w:t>Vorbereitung Neuvermietung</w:t>
      </w:r>
    </w:p>
    <w:p>
      <w:pPr>
        <w:pStyle w:val="Heading3"/>
      </w:pPr>
      <w:r>
        <w:rPr>
          <w:rFonts w:ascii="Times New Roman" w:hAnsi="Times New Roman"/>
        </w:rPr>
        <w:t>Renovierungsklausel Pruefung</w:t>
      </w:r>
    </w:p>
    <w:p>
      <w:pPr>
        <w:jc w:val="left"/>
      </w:pPr>
      <w:r>
        <w:t>Der Mietvertrag Pohlmann-Tannenberg enthielt eine Renovierungsklausel (Schlussrenovierung). Diese ist nach ständiger BGH-Rechtsprechung (BGH VIII ZR 361/03 ff.) nur wirksam wenn das Mietverhältnis renoviert übergeben wurde.</w:t>
      </w:r>
    </w:p>
    <w:p>
      <w:pPr>
        <w:jc w:val="left"/>
      </w:pPr>
      <w:r>
        <w:rPr>
          <w:b/>
        </w:rPr>
        <w:t>Sachstand:</w:t>
      </w:r>
      <w:r>
        <w:t xml:space="preserve"> Wohnung wurde 2013 frisch renoviert übergeben (uebergabeprotokoll vorhanden). Renovierungsklausel dürfte wirksam sein. Schuldner müssten renovieren — hilfsweise Schadensersatz.</w:t>
      </w:r>
    </w:p>
    <w:p>
      <w:pPr>
        <w:pStyle w:val="Heading3"/>
      </w:pPr>
      <w:r>
        <w:rPr>
          <w:rFonts w:ascii="Times New Roman" w:hAnsi="Times New Roman"/>
        </w:rPr>
        <w:t>Kaution</w:t>
      </w:r>
    </w:p>
    <w:p>
      <w:pPr>
        <w:jc w:val="left"/>
      </w:pPr>
      <w:r>
        <w:t>Kaution (3 Monatsmieten = 3.720 EUR) wurde 2013 hinterlegt. Kaution kann nach Raeumung für ausstehende Forderungen verrechnet werden. Kautionsabrechnung nach § 548 BGB: Vermieter hat 6 Monate Zeit nach Rückgabe.</w:t>
      </w:r>
    </w:p>
    <w:p/>
    <w:p>
      <w:pPr>
        <w:pStyle w:val="Heading2"/>
      </w:pPr>
      <w:r>
        <w:rPr>
          <w:rFonts w:ascii="Times New Roman" w:hAnsi="Times New Roman"/>
        </w:rPr>
        <w:t>Ergebnis</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Aspekt</w:t>
            </w:r>
          </w:p>
        </w:tc>
        <w:tc>
          <w:tcPr>
            <w:tcW w:type="dxa" w:w="4536"/>
          </w:tcPr>
          <w:p>
            <w:r>
              <w:rPr>
                <w:rFonts w:ascii="Times New Roman" w:hAnsi="Times New Roman"/>
                <w:b/>
                <w:sz w:val="20"/>
              </w:rPr>
              <w:t>Ergebnis</w:t>
            </w:r>
          </w:p>
        </w:tc>
      </w:tr>
      <w:tr>
        <w:tc>
          <w:tcPr>
            <w:tcW w:type="dxa" w:w="4536"/>
          </w:tcPr>
          <w:p>
            <w:r>
              <w:rPr>
                <w:rFonts w:ascii="Times New Roman" w:hAnsi="Times New Roman"/>
                <w:sz w:val="20"/>
              </w:rPr>
              <w:t>Mietvertragsende</w:t>
            </w:r>
          </w:p>
        </w:tc>
        <w:tc>
          <w:tcPr>
            <w:tcW w:type="dxa" w:w="4536"/>
          </w:tcPr>
          <w:p>
            <w:r>
              <w:rPr>
                <w:rFonts w:ascii="Times New Roman" w:hAnsi="Times New Roman"/>
                <w:sz w:val="20"/>
              </w:rPr>
              <w:t>31.07.2025 (fristgemaesse Kündigung) / frühestens 15.05.2025 (fristlos)</w:t>
            </w:r>
          </w:p>
        </w:tc>
      </w:tr>
      <w:tr>
        <w:tc>
          <w:tcPr>
            <w:tcW w:type="dxa" w:w="4536"/>
          </w:tcPr>
          <w:p>
            <w:r>
              <w:rPr>
                <w:rFonts w:ascii="Times New Roman" w:hAnsi="Times New Roman"/>
                <w:sz w:val="20"/>
              </w:rPr>
              <w:t>Nutzungsentschädigung</w:t>
            </w:r>
          </w:p>
        </w:tc>
        <w:tc>
          <w:tcPr>
            <w:tcW w:type="dxa" w:w="4536"/>
          </w:tcPr>
          <w:p>
            <w:r>
              <w:rPr>
                <w:rFonts w:ascii="Times New Roman" w:hAnsi="Times New Roman"/>
                <w:sz w:val="20"/>
              </w:rPr>
              <w:t>8.680 EUR (08/2025 – 02/2026) — separater Anspruch</w:t>
            </w:r>
          </w:p>
        </w:tc>
      </w:tr>
      <w:tr>
        <w:tc>
          <w:tcPr>
            <w:tcW w:type="dxa" w:w="4536"/>
          </w:tcPr>
          <w:p>
            <w:r>
              <w:rPr>
                <w:rFonts w:ascii="Times New Roman" w:hAnsi="Times New Roman"/>
                <w:sz w:val="20"/>
              </w:rPr>
              <w:t>Kündigung wirksam</w:t>
            </w:r>
          </w:p>
        </w:tc>
        <w:tc>
          <w:tcPr>
            <w:tcW w:type="dxa" w:w="4536"/>
          </w:tcPr>
          <w:p>
            <w:r>
              <w:rPr>
                <w:rFonts w:ascii="Times New Roman" w:hAnsi="Times New Roman"/>
                <w:sz w:val="20"/>
              </w:rPr>
              <w:t>✓ (beide Kündigungen)</w:t>
            </w:r>
          </w:p>
        </w:tc>
      </w:tr>
      <w:tr>
        <w:tc>
          <w:tcPr>
            <w:tcW w:type="dxa" w:w="4536"/>
          </w:tcPr>
          <w:p>
            <w:r>
              <w:rPr>
                <w:rFonts w:ascii="Times New Roman" w:hAnsi="Times New Roman"/>
                <w:sz w:val="20"/>
              </w:rPr>
              <w:t>Renovierungspflicht Schuldner</w:t>
            </w:r>
          </w:p>
        </w:tc>
        <w:tc>
          <w:tcPr>
            <w:tcW w:type="dxa" w:w="4536"/>
          </w:tcPr>
          <w:p>
            <w:r>
              <w:rPr>
                <w:rFonts w:ascii="Times New Roman" w:hAnsi="Times New Roman"/>
                <w:sz w:val="20"/>
              </w:rPr>
              <w:t>Ja — aus Klausel und Beschädigungen</w:t>
            </w:r>
          </w:p>
        </w:tc>
      </w:tr>
      <w:tr>
        <w:tc>
          <w:tcPr>
            <w:tcW w:type="dxa" w:w="4536"/>
          </w:tcPr>
          <w:p>
            <w:r>
              <w:rPr>
                <w:rFonts w:ascii="Times New Roman" w:hAnsi="Times New Roman"/>
                <w:sz w:val="20"/>
              </w:rPr>
              <w:t>Kautionsverrechnung</w:t>
            </w:r>
          </w:p>
        </w:tc>
        <w:tc>
          <w:tcPr>
            <w:tcW w:type="dxa" w:w="4536"/>
          </w:tcPr>
          <w:p>
            <w:r>
              <w:rPr>
                <w:rFonts w:ascii="Times New Roman" w:hAnsi="Times New Roman"/>
                <w:sz w:val="20"/>
              </w:rPr>
              <w:t>Möglich nach Raeumung</w:t>
            </w:r>
          </w:p>
        </w:tc>
      </w:tr>
      <w:tr>
        <w:tc>
          <w:tcPr>
            <w:tcW w:type="dxa" w:w="4536"/>
          </w:tcPr>
          <w:p>
            <w:r>
              <w:rPr>
                <w:rFonts w:ascii="Times New Roman" w:hAnsi="Times New Roman"/>
                <w:sz w:val="20"/>
              </w:rPr>
              <w:t>Neuvermietung ab</w:t>
            </w:r>
          </w:p>
        </w:tc>
        <w:tc>
          <w:tcPr>
            <w:tcW w:type="dxa" w:w="4536"/>
          </w:tcPr>
          <w:p>
            <w:r>
              <w:rPr>
                <w:rFonts w:ascii="Times New Roman" w:hAnsi="Times New Roman"/>
                <w:sz w:val="20"/>
              </w:rPr>
              <w:t>Realitisch 01.04.2026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