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Mobiliarpfaendung — Katalog und § 811 ZPO Pruefung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30.01.2026</w:t>
      </w:r>
    </w:p>
    <w:p>
      <w:pPr>
        <w:jc w:val="left"/>
      </w:pPr>
      <w:r>
        <w:rPr>
          <w:b/>
        </w:rPr>
        <w:t>Grundlage:</w:t>
      </w:r>
      <w:r>
        <w:t xml:space="preserve"> GV-Pfaendungsprotokoll vom 29.01.2026 (s. Aktenstuck 15)</w:t>
      </w:r>
    </w:p>
    <w:p/>
    <w:p>
      <w:pPr>
        <w:pStyle w:val="Heading2"/>
      </w:pPr>
      <w:r>
        <w:rPr>
          <w:rFonts w:ascii="Times New Roman" w:hAnsi="Times New Roman"/>
        </w:rPr>
        <w:t>Rechtsgrundlagen Mobiliarpfaendung</w:t>
      </w:r>
    </w:p>
    <w:p>
      <w:pPr>
        <w:pStyle w:val="ListBullet"/>
      </w:pPr>
      <w:r>
        <w:t>§ 803 ZPO: Grundsatz der Pfändung</w:t>
      </w:r>
    </w:p>
    <w:p>
      <w:pPr>
        <w:pStyle w:val="ListBullet"/>
      </w:pPr>
      <w:r>
        <w:t>§ 808 ZPO: Pfändung in der Wohnung des Schuldners (körperliche Sachen)</w:t>
      </w:r>
    </w:p>
    <w:p>
      <w:pPr>
        <w:pStyle w:val="ListBullet"/>
      </w:pPr>
      <w:r>
        <w:t>§ 811 ZPO: Unpfändbare Sachen (Katalog)</w:t>
      </w:r>
    </w:p>
    <w:p>
      <w:pPr>
        <w:pStyle w:val="ListBullet"/>
      </w:pPr>
      <w:r>
        <w:t>§ 811a ZPO: Pfändungsschutz bei Austausch</w:t>
      </w:r>
    </w:p>
    <w:p>
      <w:pPr>
        <w:pStyle w:val="ListBullet"/>
      </w:pPr>
      <w:r>
        <w:t>§ 813 ZPO: Verwertung durch Versteigerung</w:t>
      </w:r>
    </w:p>
    <w:p>
      <w:pPr>
        <w:pStyle w:val="ListBullet"/>
      </w:pPr>
      <w:r>
        <w:t>§ 817 ZPO: Verwertung durch freien Verkauf</w:t>
      </w:r>
    </w:p>
    <w:p/>
    <w:p>
      <w:pPr>
        <w:pStyle w:val="Heading2"/>
      </w:pPr>
      <w:r>
        <w:rPr>
          <w:rFonts w:ascii="Times New Roman" w:hAnsi="Times New Roman"/>
        </w:rPr>
        <w:t>Pfaendungskatalog — Einzelprüfung</w:t>
      </w:r>
    </w:p>
    <w:p>
      <w:pPr>
        <w:pStyle w:val="Heading3"/>
      </w:pPr>
      <w:r>
        <w:rPr>
          <w:rFonts w:ascii="Times New Roman" w:hAnsi="Times New Roman"/>
        </w:rPr>
        <w:t>Pfändbare Gegenstände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Wert (geschätzt)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Samsung TV 55"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808 ZPO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Grundbedarf; pfändbar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Apple MacBook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808 ZPO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berufsbedingtes Gerät (Carmen ist Lehrerin, aber schul-eigene Ausstattung)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Motorroller (Flur)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808 ZPO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Berufsfahrzeug; pfändbar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Sofa (3-Sitzer)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808 ZPO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unverzichtbares Möbel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Mikrowelle (hochwertig)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808 ZPO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Neben Herd: entbehrlich</w:t>
            </w:r>
          </w:p>
        </w:tc>
      </w:tr>
    </w:tbl>
    <w:p>
      <w:pPr>
        <w:jc w:val="left"/>
      </w:pPr>
      <w:r>
        <w:rPr>
          <w:b/>
        </w:rPr>
        <w:t>Summe pfändbare Gegenstande:</w:t>
      </w:r>
      <w:r>
        <w:t xml:space="preserve"> ca. 1.480 EUR</w:t>
      </w:r>
    </w:p>
    <w:p>
      <w:pPr>
        <w:pStyle w:val="Heading3"/>
      </w:pPr>
      <w:r>
        <w:rPr>
          <w:rFonts w:ascii="Times New Roman" w:hAnsi="Times New Roman"/>
        </w:rPr>
        <w:t>Unpfändbare Gegenstände § 811 ZPO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Ausschlussgrund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Kinderbett Hilde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811 Abs. 1 Nr. 1 ZPO — unentbehrliches Einrichtungsstück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Kleidung und Wäsche (Grundausstattung)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811 Abs. 1 Nr. 1 ZPO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Kochherd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811 Abs. 1 Nr. 1 ZPO — notwendiges Haushaltsgerät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Kühlschrank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811 Abs. 1 Nr. 1 ZPO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Waschmaschine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811 Abs. 1 Nr. 1 ZPO (h.M. bei Kleinkind im Haushalt)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Spielzeug Hilde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811 Abs. 1 Nr. 1 ZPO — kindliche Grundausstattung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Grenzfaelle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Pruefung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Werkzeugkoffer Heinrich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811 Abs. 1 Nr. 5 ZPO — Berufsgerät Trockenbauer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 unpfändbar; GV soll Wert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MacBook Laptop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Beruflich oder privat genutzt?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Pfändbar wenn hauptsächlich privat; Beweislast Schuldner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VW Crafter (nicht in Wohnung)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811 Abs. 1 Nr. 5 ZPO — Gewerbefahrzeug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Separate Pfändung; Pruefung ob entbehrlich (2. Fahrzeug?)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VW Crafter — Separate Pfändung</w:t>
      </w:r>
    </w:p>
    <w:p>
      <w:pPr>
        <w:jc w:val="left"/>
      </w:pPr>
      <w:r>
        <w:t>Der VW Crafter 2017 (Heinrichs Gewerbefahrzeug) steht nicht in der Wohnung. Separate Pfändung nötig:</w:t>
      </w:r>
    </w:p>
    <w:p>
      <w:pPr>
        <w:pStyle w:val="ListNumber"/>
      </w:pPr>
      <w:r>
        <w:t>GV-Auftrag: Pfändung des Fahrzeugs am Standort (Baustelle Norderstedt oder Privatstellplatz)</w:t>
      </w:r>
    </w:p>
    <w:p>
      <w:pPr>
        <w:pStyle w:val="ListNumber"/>
      </w:pPr>
      <w:r>
        <w:t>§ 811 Abs. 1 Nr. 5 ZPO: Fahrzeuge sind unpfändbar soweit sie zur Berufsausübung unentbehrlich sind</w:t>
      </w:r>
    </w:p>
    <w:p>
      <w:pPr>
        <w:pStyle w:val="ListNumber"/>
      </w:pPr>
      <w:r>
        <w:t>Ausnahme: Ist der Marktwert des Crafter erheblich höher als Mindesteinsatz? Austausch durch günstigeres Fahrzeug möglich (§ 811a ZPO)?</w:t>
      </w:r>
    </w:p>
    <w:p>
      <w:pPr>
        <w:jc w:val="left"/>
      </w:pPr>
      <w:r>
        <w:rPr>
          <w:b/>
        </w:rPr>
        <w:t>Kriterium:</w:t>
      </w:r>
      <w:r>
        <w:t xml:space="preserve"> Crafter-Marktwert ca. 12.000 EUR. Gebrauchtfahrzeug für Trockenbau-Gewerbe um 4.000 EUR verfügbar (Kleinster-Wagen). Pfändung des Crafter und Austausch durch günstigeres Fahrzeug: Mehrwert ca. 8.000 EUR — </w:t>
      </w:r>
      <w:r>
        <w:rPr>
          <w:b/>
        </w:rPr>
        <w:t>Antrag auf § 811a ZPO-Austauschpfändung empfehlenswert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Verwertungsweg</w:t>
      </w:r>
    </w:p>
    <w:p>
      <w:pPr>
        <w:pStyle w:val="ListNumber"/>
      </w:pPr>
      <w:r>
        <w:rPr>
          <w:b/>
        </w:rPr>
        <w:t>Versteigerung</w:t>
      </w:r>
      <w:r>
        <w:t xml:space="preserve"> § 813 ZPO: GV setzt öffentliche Versteigerungstermin; i.d.R. durch Versteigerungsunternehmen</w:t>
      </w:r>
    </w:p>
    <w:p>
      <w:pPr>
        <w:pStyle w:val="ListNumber"/>
      </w:pPr>
      <w:r>
        <w:rPr>
          <w:b/>
        </w:rPr>
        <w:t>Freier Verkauf</w:t>
      </w:r>
      <w:r>
        <w:t xml:space="preserve"> § 817 ZPO: Wenn Versteigerungserlös vorhersehbar gering — freier Verkauf erlaubt (mit Gläubigereinverständnis)</w:t>
      </w:r>
    </w:p>
    <w:p>
      <w:pPr>
        <w:jc w:val="left"/>
      </w:pPr>
      <w:r>
        <w:rPr>
          <w:b/>
        </w:rPr>
        <w:t>Erwarteter Nettooerloes aus gepfändeten Gegenständen (nach GV-Kosten):</w:t>
      </w:r>
      <w:r>
        <w:t xml:space="preserve"> ca. 800 – 1.000 EUR — marginal für Hauptforderung, aber als Druckmittel wirksam.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