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23 Kostenfestsetzungsantrag — Entwurf § 103 ff. ZPO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15.02.2026</w:t>
      </w:r>
    </w:p>
    <w:p>
      <w:pPr>
        <w:jc w:val="left"/>
      </w:pPr>
      <w:r>
        <w:rPr>
          <w:b/>
        </w:rPr>
        <w:t>Bearbeiter:</w:t>
      </w:r>
      <w:r>
        <w:t xml:space="preserve"> RA Dr. Roosendaal-Eichmueller</w:t>
      </w:r>
    </w:p>
    <w:p/>
    <w:p>
      <w:pPr>
        <w:pStyle w:val="Heading2"/>
      </w:pPr>
      <w:r>
        <w:rPr>
          <w:rFonts w:ascii="Times New Roman" w:hAnsi="Times New Roman"/>
        </w:rPr>
        <w:t>Grundlage</w:t>
      </w:r>
    </w:p>
    <w:p>
      <w:pPr>
        <w:jc w:val="left"/>
      </w:pPr>
      <w:r>
        <w:t>Nach Abschluss des Vorprozesses (AG Hamburg-Altona 188 C 4711/25 und Berufung LG Hamburg 308 S 14/26) ist die Gläubigerin berechtigt, die Kosten des Erkenntnisverfahrens gemäß § 103 ff. ZPO festzusetzen.</w:t>
      </w:r>
    </w:p>
    <w:p>
      <w:pPr>
        <w:jc w:val="left"/>
      </w:pPr>
      <w:r>
        <w:t>Die Kostenentscheidung im Urteil vom 12.11.2025 lautet:</w:t>
      </w:r>
    </w:p>
    <w:p>
      <w:pPr>
        <w:ind w:left="567"/>
      </w:pPr>
      <w:r>
        <w:rPr>
          <w:i/>
        </w:rPr>
        <w:t>„Die Beklagten tragen als Gesamtschuldner die Kosten des Rechtsstreits."</w:t>
      </w:r>
    </w:p>
    <w:p>
      <w:pPr>
        <w:pStyle w:val="Heading2"/>
      </w:pPr>
      <w:r>
        <w:rPr>
          <w:rFonts w:ascii="Times New Roman" w:hAnsi="Times New Roman"/>
        </w:rPr>
        <w:t>Kostenpositionen Vorprozess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Gerichtsgebühren (3,0 GKG aus Streitwert 14.880 EUR + Raeumung)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1.182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Anwaltshonorar 1. Instanz (1,3 VV 3100 + 1,2 VV 3104)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1.644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Anwaltshonorar Berufung LG Hamburg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822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Auslagen (Porto, Kopien)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Kostenfestsetzungsantrag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3.708 EUR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Verfahren Kostenfestsetzung</w:t>
      </w:r>
    </w:p>
    <w:p>
      <w:pPr>
        <w:pStyle w:val="ListNumber"/>
      </w:pPr>
      <w:r>
        <w:t>Antrag auf Kostenfestsetzung beim AG Hamburg-Altona (Rechtspfleger)</w:t>
      </w:r>
    </w:p>
    <w:p>
      <w:pPr>
        <w:pStyle w:val="ListNumber"/>
      </w:pPr>
      <w:r>
        <w:t>Kostenberechnung nach RVG und GKG beifügen</w:t>
      </w:r>
    </w:p>
    <w:p>
      <w:pPr>
        <w:pStyle w:val="ListNumber"/>
      </w:pPr>
      <w:r>
        <w:t>Kostenfestsetzungsbeschluss (KFB) wird erlassen</w:t>
      </w:r>
    </w:p>
    <w:p>
      <w:pPr>
        <w:pStyle w:val="ListNumber"/>
      </w:pPr>
      <w:r>
        <w:t>KFB ist selbständiger Vollstreckungstitel (§ 794 Abs. 1 Nr. 2 ZPO)</w:t>
      </w:r>
    </w:p>
    <w:p>
      <w:pPr>
        <w:pStyle w:val="ListNumber"/>
      </w:pPr>
      <w:r>
        <w:t>Vollstreckung des KFB parallel zur Hauptforderung möglich</w:t>
      </w:r>
    </w:p>
    <w:p>
      <w:pPr>
        <w:pStyle w:val="Heading2"/>
      </w:pPr>
      <w:r>
        <w:rPr>
          <w:rFonts w:ascii="Times New Roman" w:hAnsi="Times New Roman"/>
        </w:rPr>
        <w:t>Status</w:t>
      </w:r>
    </w:p>
    <w:p>
      <w:pPr>
        <w:jc w:val="left"/>
      </w:pPr>
      <w:r>
        <w:t>KFB noch nicht beantragt (Stand 15.02.2026). Antrag soll nach Raeumung und Abschluss des § 765a-Verfahrens gestellt werden.</w:t>
      </w:r>
    </w:p>
    <w:p>
      <w:pPr>
        <w:jc w:val="left"/>
      </w:pPr>
      <w:r>
        <w:rPr>
          <w:b/>
        </w:rPr>
        <w:t>Wiedervorlage:</w:t>
      </w:r>
      <w:r>
        <w:t xml:space="preserve"> 01.04.2026 (nach Raeumung)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