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Mandatsannahme und Doppelverteidigungsproblematik</w:t>
      </w:r>
    </w:p>
    <w:p>
      <w:pPr>
        <w:jc w:val="left"/>
      </w:pPr>
      <w:r>
        <w:t>Datum: 15. April 2026</w:t>
      </w:r>
    </w:p>
    <w:p>
      <w:pPr>
        <w:jc w:val="left"/>
      </w:pPr>
      <w:r>
        <w:t>Bearbeiter: RA Dr. Henning Quasdorf, Fachanwalt für Strafrecht</w:t>
      </w:r>
    </w:p>
    <w:p>
      <w:pPr>
        <w:jc w:val="left"/>
      </w:pPr>
      <w:r>
        <w:t>Kanzlei: Quasdorf &amp; Reimers Rechtsanwälte PartG, Jungfernstieg 44, 20354 Hamburg</w:t>
      </w:r>
    </w:p>
    <w:p>
      <w:pPr>
        <w:jc w:val="left"/>
      </w:pPr>
      <w:r>
        <w:t>Mandat: Verteidigung RA Friedrich-Wilhelm Sandhof, geb. 10.03.1966, Norderstedt</w:t>
      </w:r>
    </w:p>
    <w:p/>
    <w:p>
      <w:pPr>
        <w:pStyle w:val="Heading2"/>
      </w:pPr>
      <w:r>
        <w:rPr>
          <w:rFonts w:ascii="Times New Roman" w:hAnsi="Times New Roman"/>
        </w:rPr>
        <w:t>Auftrag und Ausgangslage</w:t>
      </w:r>
    </w:p>
    <w:p>
      <w:pPr>
        <w:jc w:val="left"/>
      </w:pPr>
      <w:r>
        <w:t>Friedrich-Wilhelm Sandhof, Seniorpartner der Kanzlei Sandhof &amp; Partner Rechtsanwälte, Rathausallee 17, 22846 Norderstedt, hat am 10. April 2026 persönlich in der Kanzlei Quasdorf &amp; Reimers vorgesprochen. Er trägt vor, seit Mitte März 2026 Kenntnis davon zu haben, dass gegen ihn persönlich wegen des Verdachts der Geldwäsche nach § 261 StGB ermittelt wird. Parallel läuft ein berufsrechtliches Verfahren der Rechtsanwaltskammer Hamburg und ein Bußgeldverfahren der Bundesanstalt für Finanzdienstleistungsaufsicht (BaFin) nach § 17 GwG.</w:t>
      </w:r>
    </w:p>
    <w:p>
      <w:pPr>
        <w:jc w:val="left"/>
      </w:pPr>
      <w:r>
        <w:t>Sandhof wünscht anwaltliche Vertretung in allen drei Verfahrenssträngen. Er ist selbst Rechtsanwalt und Partnerschaftsgesellschafter. Die Frage der Interessenkollision — insbesondere hinsichtlich seiner Sozien und weiterer Mitarbeiter der Kanzlei — ist von Beginn an zu prüfen.</w:t>
      </w:r>
    </w:p>
    <w:p/>
    <w:p>
      <w:pPr>
        <w:pStyle w:val="Heading2"/>
      </w:pPr>
      <w:r>
        <w:rPr>
          <w:rFonts w:ascii="Times New Roman" w:hAnsi="Times New Roman"/>
        </w:rPr>
        <w:t>Zur Person des Mandanten</w:t>
      </w:r>
    </w:p>
    <w:p>
      <w:pPr>
        <w:jc w:val="left"/>
      </w:pPr>
      <w:r>
        <w:t>Friedrich-Wilhelm Sandhof ist seit 1997 als Rechtsanwalt zugelassen (Zulassung Hanseatisches Oberlandesgericht Hamburg). Er war von 1997 bis 2003 als angestellter Anwalt bei einer mittelgroßen Kanzlei in Hamburg tätig, bevor er 2003 die eigene Kanzlei in Norderstedt gründete. Seit ca. 2010 firmiert die Kanzlei als Sandhof &amp; Partner. Derzeit sind 22 Rechtsanwältinnen und Rechtsanwälte tätig, davon 6 als Partner.</w:t>
      </w:r>
    </w:p>
    <w:p>
      <w:pPr>
        <w:jc w:val="left"/>
      </w:pPr>
      <w:r>
        <w:t>Schwerpunkt der Kanzlei: Immobilienwirtschaft Hamburg und Mecklenburg-Vorpommern, Gewerbemietrecht, Grundstückskauf- und Bauträgerrecht, vereinzelt Erbrecht mit Immobilienbezug.</w:t>
      </w:r>
    </w:p>
    <w:p>
      <w:pPr>
        <w:jc w:val="left"/>
      </w:pPr>
      <w:r>
        <w:t>Sandhof ist Verpflichteter nach § 2 Abs. 1 Nr. 10 GwG als Rechtsanwalt, der an Immobilientransaktionen mitwirkt (vgl. § 2 Abs. 1 Nr. 10 lit. a GwG i.V.m. § 10 Abs. 1 Nr. 3 GwG). Er hält keine gesonderte Fachanwaltsbezeichnung für Strafrecht. Strafrechtliche Vorerfahrung: keine (nach eigener Angabe).</w:t>
      </w:r>
    </w:p>
    <w:p/>
    <w:p>
      <w:pPr>
        <w:pStyle w:val="Heading2"/>
      </w:pPr>
      <w:r>
        <w:rPr>
          <w:rFonts w:ascii="Times New Roman" w:hAnsi="Times New Roman"/>
        </w:rPr>
        <w:t>Verfahrensstand bei Mandatsannahme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Verfahren</w:t>
            </w:r>
          </w:p>
        </w:tc>
        <w:tc>
          <w:tcPr>
            <w:tcW w:type="dxa" w:w="2268"/>
          </w:tcPr>
          <w:p>
            <w:r>
              <w:rPr>
                <w:rFonts w:ascii="Times New Roman" w:hAnsi="Times New Roman"/>
                <w:b/>
                <w:sz w:val="20"/>
              </w:rPr>
              <w:t>Behörde</w:t>
            </w:r>
          </w:p>
        </w:tc>
        <w:tc>
          <w:tcPr>
            <w:tcW w:type="dxa" w:w="2268"/>
          </w:tcPr>
          <w:p>
            <w:r>
              <w:rPr>
                <w:rFonts w:ascii="Times New Roman" w:hAnsi="Times New Roman"/>
                <w:b/>
                <w:sz w:val="20"/>
              </w:rPr>
              <w:t>Status</w:t>
            </w:r>
          </w:p>
        </w:tc>
        <w:tc>
          <w:tcPr>
            <w:tcW w:type="dxa" w:w="2268"/>
          </w:tcPr>
          <w:p>
            <w:r>
              <w:rPr>
                <w:rFonts w:ascii="Times New Roman" w:hAnsi="Times New Roman"/>
                <w:b/>
                <w:sz w:val="20"/>
              </w:rPr>
              <w:t>Aktenzeichen</w:t>
            </w:r>
          </w:p>
        </w:tc>
      </w:tr>
      <w:tr>
        <w:tc>
          <w:tcPr>
            <w:tcW w:type="dxa" w:w="2268"/>
          </w:tcPr>
          <w:p>
            <w:r>
              <w:rPr>
                <w:rFonts w:ascii="Times New Roman" w:hAnsi="Times New Roman"/>
                <w:sz w:val="20"/>
              </w:rPr>
              <w:t>Strafermittlung § 261 StGB</w:t>
            </w:r>
          </w:p>
        </w:tc>
        <w:tc>
          <w:tcPr>
            <w:tcW w:type="dxa" w:w="2268"/>
          </w:tcPr>
          <w:p>
            <w:r>
              <w:rPr>
                <w:rFonts w:ascii="Times New Roman" w:hAnsi="Times New Roman"/>
                <w:sz w:val="20"/>
              </w:rPr>
              <w:t>StA Kiel</w:t>
            </w:r>
          </w:p>
        </w:tc>
        <w:tc>
          <w:tcPr>
            <w:tcW w:type="dxa" w:w="2268"/>
          </w:tcPr>
          <w:p>
            <w:r>
              <w:rPr>
                <w:rFonts w:ascii="Times New Roman" w:hAnsi="Times New Roman"/>
                <w:sz w:val="20"/>
              </w:rPr>
              <w:t>Ermittlungsverfahren eingeleitet</w:t>
            </w:r>
          </w:p>
        </w:tc>
        <w:tc>
          <w:tcPr>
            <w:tcW w:type="dxa" w:w="2268"/>
          </w:tcPr>
          <w:p>
            <w:r>
              <w:rPr>
                <w:rFonts w:ascii="Times New Roman" w:hAnsi="Times New Roman"/>
                <w:sz w:val="20"/>
              </w:rPr>
              <w:t>4 KS 188/26</w:t>
            </w:r>
          </w:p>
        </w:tc>
      </w:tr>
      <w:tr>
        <w:tc>
          <w:tcPr>
            <w:tcW w:type="dxa" w:w="2268"/>
          </w:tcPr>
          <w:p>
            <w:r>
              <w:rPr>
                <w:rFonts w:ascii="Times New Roman" w:hAnsi="Times New Roman"/>
                <w:sz w:val="20"/>
              </w:rPr>
              <w:t>Bußgeldverfahren § 17 GwG</w:t>
            </w:r>
          </w:p>
        </w:tc>
        <w:tc>
          <w:tcPr>
            <w:tcW w:type="dxa" w:w="2268"/>
          </w:tcPr>
          <w:p>
            <w:r>
              <w:rPr>
                <w:rFonts w:ascii="Times New Roman" w:hAnsi="Times New Roman"/>
                <w:sz w:val="20"/>
              </w:rPr>
              <w:t>BaFin</w:t>
            </w:r>
          </w:p>
        </w:tc>
        <w:tc>
          <w:tcPr>
            <w:tcW w:type="dxa" w:w="2268"/>
          </w:tcPr>
          <w:p>
            <w:r>
              <w:rPr>
                <w:rFonts w:ascii="Times New Roman" w:hAnsi="Times New Roman"/>
                <w:sz w:val="20"/>
              </w:rPr>
              <w:t>Anhörungsschreiben ergangen</w:t>
            </w:r>
          </w:p>
        </w:tc>
        <w:tc>
          <w:tcPr>
            <w:tcW w:type="dxa" w:w="2268"/>
          </w:tcPr>
          <w:p>
            <w:r>
              <w:rPr>
                <w:rFonts w:ascii="Times New Roman" w:hAnsi="Times New Roman"/>
                <w:sz w:val="20"/>
              </w:rPr>
              <w:t>BaFin-GwG-2026-084-NH</w:t>
            </w:r>
          </w:p>
        </w:tc>
      </w:tr>
      <w:tr>
        <w:tc>
          <w:tcPr>
            <w:tcW w:type="dxa" w:w="2268"/>
          </w:tcPr>
          <w:p>
            <w:r>
              <w:rPr>
                <w:rFonts w:ascii="Times New Roman" w:hAnsi="Times New Roman"/>
                <w:sz w:val="20"/>
              </w:rPr>
              <w:t>Ordnungswidrigkeiten § 23 SanktDG</w:t>
            </w:r>
          </w:p>
        </w:tc>
        <w:tc>
          <w:tcPr>
            <w:tcW w:type="dxa" w:w="2268"/>
          </w:tcPr>
          <w:p>
            <w:r>
              <w:rPr>
                <w:rFonts w:ascii="Times New Roman" w:hAnsi="Times New Roman"/>
                <w:sz w:val="20"/>
              </w:rPr>
              <w:t>BaFin</w:t>
            </w:r>
          </w:p>
        </w:tc>
        <w:tc>
          <w:tcPr>
            <w:tcW w:type="dxa" w:w="2268"/>
          </w:tcPr>
          <w:p>
            <w:r>
              <w:rPr>
                <w:rFonts w:ascii="Times New Roman" w:hAnsi="Times New Roman"/>
                <w:sz w:val="20"/>
              </w:rPr>
              <w:t>Vorprüfung</w:t>
            </w:r>
          </w:p>
        </w:tc>
        <w:tc>
          <w:tcPr>
            <w:tcW w:type="dxa" w:w="2268"/>
          </w:tcPr>
          <w:p>
            <w:r>
              <w:rPr>
                <w:rFonts w:ascii="Times New Roman" w:hAnsi="Times New Roman"/>
                <w:sz w:val="20"/>
              </w:rPr>
              <w:t>BaFin-SanktDG-2026-019</w:t>
            </w:r>
          </w:p>
        </w:tc>
      </w:tr>
      <w:tr>
        <w:tc>
          <w:tcPr>
            <w:tcW w:type="dxa" w:w="2268"/>
          </w:tcPr>
          <w:p>
            <w:r>
              <w:rPr>
                <w:rFonts w:ascii="Times New Roman" w:hAnsi="Times New Roman"/>
                <w:sz w:val="20"/>
              </w:rPr>
              <w:t>Berufsrechtliches Verfahren</w:t>
            </w:r>
          </w:p>
        </w:tc>
        <w:tc>
          <w:tcPr>
            <w:tcW w:type="dxa" w:w="2268"/>
          </w:tcPr>
          <w:p>
            <w:r>
              <w:rPr>
                <w:rFonts w:ascii="Times New Roman" w:hAnsi="Times New Roman"/>
                <w:sz w:val="20"/>
              </w:rPr>
              <w:t>RAK Hamburg</w:t>
            </w:r>
          </w:p>
        </w:tc>
        <w:tc>
          <w:tcPr>
            <w:tcW w:type="dxa" w:w="2268"/>
          </w:tcPr>
          <w:p>
            <w:r>
              <w:rPr>
                <w:rFonts w:ascii="Times New Roman" w:hAnsi="Times New Roman"/>
                <w:sz w:val="20"/>
              </w:rPr>
              <w:t>Rüge zugegangen, keine Entscheidung</w:t>
            </w:r>
          </w:p>
        </w:tc>
        <w:tc>
          <w:tcPr>
            <w:tcW w:type="dxa" w:w="2268"/>
          </w:tcPr>
          <w:p>
            <w:r>
              <w:rPr>
                <w:rFonts w:ascii="Times New Roman" w:hAnsi="Times New Roman"/>
                <w:sz w:val="20"/>
              </w:rPr>
              <w:t>RAK HH 2026/0317</w:t>
            </w:r>
          </w:p>
        </w:tc>
      </w:tr>
    </w:tbl>
    <w:p>
      <w:pPr>
        <w:jc w:val="left"/>
      </w:pPr>
      <w:r>
        <w:t>Hinweis: Das Aktenzeichen der StA Kiel 4 KS 188/26 deutet auf eine Anklage beim Landgericht Kiel hin — das Ermittlungsverfahren scheint sich zu verfestigen. Noch kein Akteneinsichtsbeschluss.</w:t>
      </w:r>
    </w:p>
    <w:p/>
    <w:p>
      <w:pPr>
        <w:pStyle w:val="Heading2"/>
      </w:pPr>
      <w:r>
        <w:rPr>
          <w:rFonts w:ascii="Times New Roman" w:hAnsi="Times New Roman"/>
        </w:rPr>
        <w:t>Doppelverteidigungsproblematik</w:t>
      </w:r>
    </w:p>
    <w:p>
      <w:pPr>
        <w:pStyle w:val="Heading3"/>
      </w:pPr>
      <w:r>
        <w:rPr>
          <w:rFonts w:ascii="Times New Roman" w:hAnsi="Times New Roman"/>
        </w:rPr>
        <w:t>Ausgangspunkt</w:t>
      </w:r>
    </w:p>
    <w:p>
      <w:pPr>
        <w:jc w:val="left"/>
      </w:pPr>
      <w:r>
        <w:t>Sandhof ist selbst Rechtsanwalt und Mitgesellschafter der Kanzlei Sandhof &amp; Partner. Es ist denkbar, dass weitere Personen aus der Kanzlei (z.B. der zuständige Sachbearbeiter der Transaktion, eine Sekretärin die Überweisungen ausführte, die für den AML-Bereich nominell zuständige Mitarbeiterin) ebenfalls in den Fokus der Ermittlungen geraten könnten.</w:t>
      </w:r>
    </w:p>
    <w:p>
      <w:pPr>
        <w:pStyle w:val="Heading3"/>
      </w:pPr>
      <w:r>
        <w:rPr>
          <w:rFonts w:ascii="Times New Roman" w:hAnsi="Times New Roman"/>
        </w:rPr>
        <w:t>Konsequenz für die Mandatsannahme</w:t>
      </w:r>
    </w:p>
    <w:p>
      <w:pPr>
        <w:jc w:val="left"/>
      </w:pPr>
      <w:r>
        <w:t>Eine Vertretung von Sandhof einerseits und weiterer Kanzleiangehöriger andererseits durch dieselbe Verteidigungskanzlei ist abzulehnen, wenn divergierende Interessen auch nur in Betracht kommen (§ 43a Abs. 4 BRAO, § 3 BORA). Zum jetzigen Zeitpunkt ist eine klare Abgrenzung möglich: Sandhof trägt die Gesamtverantwortung als Kanzleichef; seine Sozien sind nicht Gegenstand der Strafanzeige. Allerdings ist die Lage dynamisch.</w:t>
      </w:r>
    </w:p>
    <w:p>
      <w:pPr>
        <w:jc w:val="left"/>
      </w:pPr>
      <w:r>
        <w:t>Interne Absprache: Die Kanzlei Quasdorf &amp; Reimers übernimmt ausschließlich das Mandat Sandhof persönlich. Sozien oder Mitarbeiter der Kanzlei Sandhof &amp; Partner dürfen sich nicht an Quasdorf &amp; Reimers wenden. Eine entsprechende Dokumentation ist in der Mandatsakte festzuhalten.</w:t>
      </w:r>
    </w:p>
    <w:p>
      <w:pPr>
        <w:pStyle w:val="Heading3"/>
      </w:pPr>
      <w:r>
        <w:rPr>
          <w:rFonts w:ascii="Times New Roman" w:hAnsi="Times New Roman"/>
        </w:rPr>
        <w:t>Vollmacht</w:t>
      </w:r>
    </w:p>
    <w:p>
      <w:pPr>
        <w:jc w:val="left"/>
      </w:pPr>
      <w:r>
        <w:t>Sandhof hat eine Strafvollmacht unterzeichnet (original in Papierakte Bl. 1). Die Vollmacht gilt ausdrücklich für alle drei Verfahrensstränge (Straf-, Bußgeld-, Berufsrechtssache), soweit kein Interessenkonflikt entsteht. Die Vollmacht ist widerruflich und gilt bis auf Weiteres.</w:t>
      </w:r>
    </w:p>
    <w:p/>
    <w:p>
      <w:pPr>
        <w:pStyle w:val="Heading2"/>
      </w:pPr>
      <w:r>
        <w:rPr>
          <w:rFonts w:ascii="Times New Roman" w:hAnsi="Times New Roman"/>
        </w:rPr>
        <w:t>Erster strategischer Überblick</w:t>
      </w:r>
    </w:p>
    <w:p>
      <w:pPr>
        <w:jc w:val="left"/>
      </w:pPr>
      <w:r>
        <w:t>Die Verteidigung sieht sich mit drei parallelen Angriffsfronten konfrontiert:</w:t>
      </w:r>
    </w:p>
    <w:p>
      <w:pPr>
        <w:pStyle w:val="ListNumber"/>
      </w:pPr>
      <w:r>
        <w:rPr>
          <w:b/>
        </w:rPr>
        <w:t>Strafrecht (§ 261 StGB):</w:t>
      </w:r>
      <w:r>
        <w:t xml:space="preserve"> Der Vorwurf der Geldwäsche setzt voraus, dass Sandhof Wissen von der Herkunft der Gelder aus einer Katalogtat hatte oder haben musste. Hier ist die subjektive Seite der Dreh- und Angelpunkt. Sandhof bestreitet Kenntnis von der Sanktionierung Smolenski zum Zeitpunkt der Transaktionen.</w:t>
      </w:r>
    </w:p>
    <w:p>
      <w:pPr>
        <w:pStyle w:val="ListNumber"/>
      </w:pPr>
      <w:r>
        <w:rPr>
          <w:b/>
        </w:rPr>
        <w:t>Geldwäscherecht (§ 17 GwG / BaFin):</w:t>
      </w:r>
      <w:r>
        <w:t xml:space="preserve"> Bußgeldtatbestände sind größtenteils als Ordnungswidrigkeit ausgestaltet; hier wird auf objektive Pflichtverletzungen (fehlende KYC-Dokumentation, Unterlassung der FIU-Meldung, unbesetzter AML-Officer) abgestellt. Vorsatz ist nicht erforderlich. Hier droht die schwerste wirtschaftliche Last.</w:t>
      </w:r>
    </w:p>
    <w:p>
      <w:pPr>
        <w:pStyle w:val="ListNumber"/>
      </w:pPr>
      <w:r>
        <w:rPr>
          <w:b/>
        </w:rPr>
        <w:t>Berufsrecht (RAK Hamburg / § 73 BRAO):</w:t>
      </w:r>
      <w:r>
        <w:t xml:space="preserve"> Disziplinarische Maßnahmen bis hin zur Ausschließung aus der Rechtsanwaltschaft (§ 114 Abs. 1 Nr. 5 BRAO) sind theoretisch möglich. In der Praxis wird die RAK Hamburg die Entwicklung der Straf- und Bußgeldsache abwarten.</w:t>
      </w:r>
    </w:p>
    <w:p/>
    <w:p>
      <w:pPr>
        <w:pStyle w:val="Heading2"/>
      </w:pPr>
      <w:r>
        <w:rPr>
          <w:rFonts w:ascii="Times New Roman" w:hAnsi="Times New Roman"/>
        </w:rPr>
        <w:t>Nächste Schritte (Mandat)</w:t>
      </w:r>
    </w:p>
    <w:p>
      <w:pPr>
        <w:pStyle w:val="ListBullet"/>
      </w:pPr>
      <w:r>
        <w:t>Akteneinsicht StA Kiel beantragen (sobald Beschluss vorhanden)</w:t>
      </w:r>
    </w:p>
    <w:p>
      <w:pPr>
        <w:pStyle w:val="ListBullet"/>
      </w:pPr>
      <w:r>
        <w:t>Stellungnahme BaFin-Anhörung vorbereiten (Frist: 30. April 2026)</w:t>
      </w:r>
    </w:p>
    <w:p>
      <w:pPr>
        <w:pStyle w:val="ListBullet"/>
      </w:pPr>
      <w:r>
        <w:t>Korrespondenz RAK Hamburg gesondert führen</w:t>
      </w:r>
    </w:p>
    <w:p>
      <w:pPr>
        <w:pStyle w:val="ListBullet"/>
      </w:pPr>
      <w:r>
        <w:t>Sandhof über Aussagestrategie belehren: Im Strafverfahren gilt umfassendes Schweigerecht; im Bußgeldverfahren gelten gesonderte Regelungen nach dem OWiG</w:t>
      </w:r>
    </w:p>
    <w:p>
      <w:pPr>
        <w:pStyle w:val="ListBullet"/>
      </w:pPr>
      <w:r>
        <w:t>Dokumentensicherung bei Kanzlei Sandhof &amp; Partner koordinieren (keine Vernichtung)</w:t>
      </w:r>
    </w:p>
    <w:p>
      <w:pPr>
        <w:jc w:val="left"/>
      </w:pPr>
      <w:r>
        <w:t>Bearbeiterin: RAin Dr. Johanna Reimers</w:t>
      </w:r>
    </w:p>
    <w:p>
      <w:pPr>
        <w:jc w:val="left"/>
      </w:pPr>
      <w:r>
        <w:t>Gegengezeichnet: RA Dr. Henning Quasdorf</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Quasdorf &amp; Reimers Rechtsanwälte PartG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QUASDORF &amp; REIMERS RECHTSANWÄLTE PARTG</w:t>
    </w:r>
  </w:p>
  <w:p>
    <w:pPr>
      <w:jc w:val="left"/>
      <w:pBdr>
        <w:bottom w:val="single" w:sz="8" w:space="2" w:color="3B3F45"/>
      </w:pBdr>
    </w:pPr>
    <w:r>
      <w:rPr>
        <w:rFonts w:ascii="Times New Roman" w:hAnsi="Times New Roman"/>
        <w:color w:val="6B6B66"/>
        <w:sz w:val="16"/>
      </w:rPr>
      <w:t>Jungfernstieg 44, 20354 Hamburg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