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BaFin-Bußgeldverfahren § 17 GwG</w:t>
      </w:r>
    </w:p>
    <w:p>
      <w:pPr>
        <w:jc w:val="left"/>
      </w:pPr>
      <w:r>
        <w:t>Bearbeiter: RAin Dr. Johanna Reimers</w:t>
      </w:r>
    </w:p>
    <w:p>
      <w:pPr>
        <w:jc w:val="left"/>
      </w:pPr>
      <w:r>
        <w:t>Datum: 21. April 2026</w:t>
      </w:r>
    </w:p>
    <w:p/>
    <w:p>
      <w:pPr>
        <w:pStyle w:val="Heading2"/>
      </w:pPr>
      <w:r>
        <w:rPr>
          <w:rFonts w:ascii="Times New Roman" w:hAnsi="Times New Roman"/>
        </w:rPr>
        <w:t>Zuständigkeit der BaFin</w:t>
      </w:r>
    </w:p>
    <w:p>
      <w:pPr>
        <w:jc w:val="left"/>
      </w:pPr>
      <w:r>
        <w:t>Die BaFin ist nach § 50 GwG die zuständige Aufsichtsbehörde für Rechtsanwälte — soweit nicht die jeweiligen Rechtsanwaltskammern nach § 51 GwG zuständig sind. Die Abgrenzung ist praktisch bedeutsam:</w:t>
      </w:r>
    </w:p>
    <w:p>
      <w:pPr>
        <w:jc w:val="left"/>
      </w:pPr>
      <w:r>
        <w:t>§ 51 Abs. 1 GwG: Für die Aufsicht über Rechtsanwälte und Kammerrechtsbeistände sind die Rechtsanwaltskammern zuständig (Delegationslösung). Die BaFin hat jedoch nach § 51 Abs. 2 GwG eine Aufsichtsfunktion, wenn die RAK ihrer Aufsichtspflicht nicht nachkommt oder wenn besondere Bundesinteressen vorliegen.</w:t>
      </w:r>
    </w:p>
    <w:p>
      <w:pPr>
        <w:jc w:val="left"/>
      </w:pPr>
      <w:r>
        <w:t>Im vorliegenden Fall hat die BaFin die Zuständigkeit mit der Begründung an sich gezogen, dass der Verstoß EU-Sanktionsrecht berührt und damit übergeordnete Bundesinteressen betroffen sind (§ 51 Abs. 2 Satz 2 GwG). Die RAK Hamburg hat der BaFin-Zuständigkeit bisher nicht widersprochen.</w:t>
      </w:r>
    </w:p>
    <w:p/>
    <w:p>
      <w:pPr>
        <w:pStyle w:val="Heading2"/>
      </w:pPr>
      <w:r>
        <w:rPr>
          <w:rFonts w:ascii="Times New Roman" w:hAnsi="Times New Roman"/>
        </w:rPr>
        <w:t>§ 56 GwG — Bußgeldtatbestände</w:t>
      </w:r>
    </w:p>
    <w:p>
      <w:pPr>
        <w:jc w:val="left"/>
      </w:pPr>
      <w:r>
        <w:t>Die BaFin stützt das Bußgeldverfahren auf mehrere Bußgeldtatbestände des § 56 GwG: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§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Bußgeldrahmen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Unterlassung allgemeiner Sorgfaltspflichten (§ 10 GwG)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56 Abs. 1 Nr. 1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Unterlassung UBO-Identifizierung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56 Abs. 1 Nr. 3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Sanktions-/PEP-Prüfung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56 Abs. 1 Nr. 5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FIU-Meldung (§ 43 GwG)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56 Abs. 1 Nr. 15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1.000.000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Unzureichende Dokumentation (§ 8 GwG)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56 Abs. 1 Nr. 70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Keine/unzureichende Risikoanalyse (§ 5 GwG)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56 Abs. 1 Nr. 1a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100.000 EUR</w:t>
            </w:r>
          </w:p>
        </w:tc>
      </w:tr>
    </w:tbl>
    <w:p>
      <w:pPr>
        <w:jc w:val="left"/>
      </w:pPr>
      <w:r>
        <w:t>Sofern die BaFin Vorsatz oder grobe Fahrlässigkeit annimmt und der Verstoß sich auf eine Transaktion von erheblicher wirtschaftlicher Bedeutung bezieht, kann gemäß § 56 Abs. 2 GwG der Bußgeldrahmen auf bis zu 1 Mio. EUR angehoben werden; bei systemischen Verstößen sogar bis zu 5 Mio. EUR oder 10 % des Jahresumsatzes.</w:t>
      </w:r>
    </w:p>
    <w:p/>
    <w:p>
      <w:pPr>
        <w:pStyle w:val="Heading2"/>
      </w:pPr>
      <w:r>
        <w:rPr>
          <w:rFonts w:ascii="Times New Roman" w:hAnsi="Times New Roman"/>
        </w:rPr>
        <w:t>BaFin-Anhörungsschreiben (Zusammenfassung)</w:t>
      </w:r>
    </w:p>
    <w:p>
      <w:pPr>
        <w:jc w:val="left"/>
      </w:pPr>
      <w:r>
        <w:t>Das Anhörungsschreiben vom 08. März 2026 (Az. BaFin-GwG-2026-084-NH; Anlage: emails/2026-03-08_bafin_an_kanzlei_anhoerung.eml) formuliert folgende Vorwürfe:</w:t>
      </w:r>
    </w:p>
    <w:p>
      <w:pPr>
        <w:pStyle w:val="ListNumber"/>
      </w:pPr>
      <w:r>
        <w:t>Keine KYC-Prüfung des UBO bei allen vier Transaktionen</w:t>
      </w:r>
    </w:p>
    <w:p>
      <w:pPr>
        <w:pStyle w:val="ListNumber"/>
      </w:pPr>
      <w:r>
        <w:t>Keine Abfrage Transparenzregister / zypriotisches Beneficial-Ownership-Register</w:t>
      </w:r>
    </w:p>
    <w:p>
      <w:pPr>
        <w:pStyle w:val="ListNumber"/>
      </w:pPr>
      <w:r>
        <w:t>Kein Sanktionsscreening vor und während der Transaktionen</w:t>
      </w:r>
    </w:p>
    <w:p>
      <w:pPr>
        <w:pStyle w:val="ListNumber"/>
      </w:pPr>
      <w:r>
        <w:t>Keine FIU-Meldung trotz Verdachtsindikatoren</w:t>
      </w:r>
    </w:p>
    <w:p>
      <w:pPr>
        <w:pStyle w:val="ListNumber"/>
      </w:pPr>
      <w:r>
        <w:t>AML-Officer-Stelle seit 31.03.2025 unbesetzt</w:t>
      </w:r>
    </w:p>
    <w:p>
      <w:pPr>
        <w:pStyle w:val="ListNumber"/>
      </w:pPr>
      <w:r>
        <w:t>Risikoanalyse seit 2019 nicht aktualisiert</w:t>
      </w:r>
    </w:p>
    <w:p>
      <w:pPr>
        <w:pStyle w:val="ListNumber"/>
      </w:pPr>
      <w:r>
        <w:t>Keine Mitarbeiterschulung zur GwG-Compliance in den Jahren 2023–2025</w:t>
      </w:r>
    </w:p>
    <w:p>
      <w:pPr>
        <w:jc w:val="left"/>
      </w:pPr>
      <w:r>
        <w:t>Die BaFin gibt der Kanzlei Gelegenheit zur Stellungnahme bis 30. April 2026.</w:t>
      </w:r>
    </w:p>
    <w:p/>
    <w:p>
      <w:pPr>
        <w:pStyle w:val="Heading2"/>
      </w:pPr>
      <w:r>
        <w:rPr>
          <w:rFonts w:ascii="Times New Roman" w:hAnsi="Times New Roman"/>
        </w:rPr>
        <w:t>Berechnung des vorläufigen Bußgeldes</w:t>
      </w:r>
    </w:p>
    <w:p>
      <w:pPr>
        <w:jc w:val="left"/>
      </w:pPr>
      <w:r>
        <w:t>Die BaFin hat in der Anhörung keinen konkreten Betrag genannt, aber in vergleichbaren Verfahren gegen Notare und Rechtsanwälte (veröffentlicht auf bafin.de) Bußgelder im Bereich 250.000–800.000 EUR verhängt.</w:t>
      </w:r>
    </w:p>
    <w:p>
      <w:pPr>
        <w:jc w:val="left"/>
      </w:pPr>
      <w:r>
        <w:t>Hochrechnung für Sandhof &amp; Partner (eigene Schätzung Verteidigung):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Basis-Bußgeld (Schätzung)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Steigerungsfaktor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Vier UBO-Verstöße (je Transaktion)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× 50.000 EUR = 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Serienverstoß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FIU-Meldungen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Schwere des Verstoßes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Risikoanalyse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Dauer (2019–2026)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AML-Officer (ab April 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Kurze Dauer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Zwischensumme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480.000 EUR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Milderung: Kooperation, Remediation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- 150.000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Schätzung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Erwartetes Bußgeld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330.000 EUR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>Diese Schätzung ist mit erheblicher Unsicherheit behaftet. Ziel der Verteidigung ist es, das Bußgeld unter 200.000 EUR zu senken.</w:t>
      </w:r>
    </w:p>
    <w:p/>
    <w:p>
      <w:pPr>
        <w:pStyle w:val="Heading2"/>
      </w:pPr>
      <w:r>
        <w:rPr>
          <w:rFonts w:ascii="Times New Roman" w:hAnsi="Times New Roman"/>
        </w:rPr>
        <w:t>Strategie im BaFin-Verfahren</w:t>
      </w:r>
    </w:p>
    <w:p>
      <w:pPr>
        <w:pStyle w:val="Heading3"/>
      </w:pPr>
      <w:r>
        <w:rPr>
          <w:rFonts w:ascii="Times New Roman" w:hAnsi="Times New Roman"/>
        </w:rPr>
        <w:t>Stellungnahme bis 30. April 2026</w:t>
      </w:r>
    </w:p>
    <w:p>
      <w:pPr>
        <w:jc w:val="left"/>
      </w:pPr>
      <w:r>
        <w:t>Die Stellungnahme (Entwurf: docx/stellungnahme_bafin_aml_bussgeld.docx) soll:</w:t>
      </w:r>
    </w:p>
    <w:p>
      <w:pPr>
        <w:pStyle w:val="ListBullet"/>
      </w:pPr>
      <w:r>
        <w:t>Sachverhalt aus Sicht Sandhofs darstellen (keine Vorwegnahme des Strafverfahrens)</w:t>
      </w:r>
    </w:p>
    <w:p>
      <w:pPr>
        <w:pStyle w:val="ListBullet"/>
      </w:pPr>
      <w:r>
        <w:t>Fehlende Vorsatzelemente betonen</w:t>
      </w:r>
    </w:p>
    <w:p>
      <w:pPr>
        <w:pStyle w:val="ListBullet"/>
      </w:pPr>
      <w:r>
        <w:t>Remediation-Maßnahmen darlegen (neuer AML-Officer, neue Risikoanalyse, Screening-Tool)</w:t>
      </w:r>
    </w:p>
    <w:p>
      <w:pPr>
        <w:pStyle w:val="ListBullet"/>
      </w:pPr>
      <w:r>
        <w:t>Kooperationsbereitschaft signalisieren</w:t>
      </w:r>
    </w:p>
    <w:p>
      <w:pPr>
        <w:pStyle w:val="ListBullet"/>
      </w:pPr>
      <w:r>
        <w:t>Verhältnismäßigkeitsargument (Kanzleigröße) vortragen</w:t>
      </w:r>
    </w:p>
    <w:p>
      <w:pPr>
        <w:pStyle w:val="Heading3"/>
      </w:pPr>
      <w:r>
        <w:rPr>
          <w:rFonts w:ascii="Times New Roman" w:hAnsi="Times New Roman"/>
        </w:rPr>
        <w:t>Kein Schuldanerkenntnis</w:t>
      </w:r>
    </w:p>
    <w:p>
      <w:pPr>
        <w:jc w:val="left"/>
      </w:pPr>
      <w:r>
        <w:t>Die Stellungnahme an die BaFin darf kein Schuldanerkenntnis enthalten, das im Strafverfahren verwertbar wäre. Das ist das Hauptspannungsfeld zwischen BaFin-Kooperation und Strafverteidigung.</w:t>
      </w:r>
    </w:p>
    <w:p>
      <w:pPr>
        <w:pStyle w:val="Heading3"/>
      </w:pPr>
      <w:r>
        <w:rPr>
          <w:rFonts w:ascii="Times New Roman" w:hAnsi="Times New Roman"/>
        </w:rPr>
        <w:t>Rechtsmittel</w:t>
      </w:r>
    </w:p>
    <w:p>
      <w:pPr>
        <w:jc w:val="left"/>
      </w:pPr>
      <w:r>
        <w:t>Gegen den BaFin-Bußgeldbescheid ist Einspruch nach § 67 OWiG möglich. Das Einspruchsverfahren führt zur gerichtlichen Überprüfung durch das Amts- oder Landgericht. Eine vollständige gerichtliche Klärung ist Option, aber kosten- und zeitaufwendig. Eine gütliche Einigung mit der BaFin ist anzustreben.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BaFin-Bußgeldverfahren § 17 GwG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BaFin-Bußgeldverfahren § 17 GwG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