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 Erstgespräch Brigitte Pohlmann-Ofenkaess</w:t>
      </w:r>
    </w:p>
    <w:p>
      <w:pPr>
        <w:jc w:val="left"/>
      </w:pPr>
      <w:r>
        <w:rPr>
          <w:b/>
        </w:rPr>
        <w:t>Kanzlei:</w:t>
      </w:r>
      <w:r>
        <w:t xml:space="preserve"> Rechtsanwaltskanzlei Dr. Schweizer-Loberg &amp; Partner, Zivilrecht Leipzig</w:t>
      </w:r>
    </w:p>
    <w:p>
      <w:pPr>
        <w:jc w:val="left"/>
      </w:pPr>
      <w:r>
        <w:rPr>
          <w:b/>
        </w:rPr>
        <w:t>Bearbeiter:</w:t>
      </w:r>
      <w:r>
        <w:t xml:space="preserve"> RA Dr. Heinrich Schweizer-Loberg</w:t>
      </w:r>
    </w:p>
    <w:p>
      <w:pPr>
        <w:jc w:val="left"/>
      </w:pPr>
      <w:r>
        <w:rPr>
          <w:b/>
        </w:rPr>
        <w:t>Datum:</w:t>
      </w:r>
      <w:r>
        <w:t xml:space="preserve"> 14. März 2026, 10:30 Uhr</w:t>
      </w:r>
    </w:p>
    <w:p>
      <w:pPr>
        <w:jc w:val="left"/>
      </w:pPr>
      <w:r>
        <w:rPr>
          <w:b/>
        </w:rPr>
        <w:t>Mandantin:</w:t>
      </w:r>
      <w:r>
        <w:t xml:space="preserve"> Brigitte Pohlmann-Ofenkaess, geb. 12.07.1973, Inhaberin „Pohlmanns Suppentopf" GmbH &amp; Co. KG</w:t>
      </w:r>
    </w:p>
    <w:p>
      <w:pPr>
        <w:jc w:val="left"/>
      </w:pPr>
      <w:r>
        <w:rPr>
          <w:b/>
        </w:rPr>
        <w:t>Anschrift Mandantin:</w:t>
      </w:r>
      <w:r>
        <w:t xml:space="preserve"> Gohlis-Süd, Leipzig (Privatanschrift auf gesondertem Deckblatt)</w:t>
      </w:r>
    </w:p>
    <w:p>
      <w:pPr>
        <w:jc w:val="left"/>
      </w:pPr>
      <w:r>
        <w:rPr>
          <w:b/>
        </w:rPr>
        <w:t>Aktenzeichen intern:</w:t>
      </w:r>
      <w:r>
        <w:t xml:space="preserve"> LEI-2026-088</w:t>
      </w:r>
    </w:p>
    <w:p/>
    <w:p>
      <w:pPr>
        <w:pStyle w:val="Heading2"/>
      </w:pPr>
      <w:r>
        <w:rPr>
          <w:rFonts w:ascii="Times New Roman" w:hAnsi="Times New Roman"/>
        </w:rPr>
        <w:t>1. Sachverhalt laut Mandantin (Zusammenfassung Erstgespräch)</w:t>
      </w:r>
    </w:p>
    <w:p>
      <w:pPr>
        <w:jc w:val="left"/>
      </w:pPr>
      <w:r>
        <w:t xml:space="preserve">Brigitte Pohlmann-Ofenkaess (im Folgenden: Mandantin) ist Alleingesellschafterin und Geschäftsführerin der </w:t>
      </w:r>
      <w:r>
        <w:rPr>
          <w:b/>
        </w:rPr>
        <w:t>Pohlmanns Suppentopf GmbH &amp; Co. KG</w:t>
      </w:r>
      <w:r>
        <w:t xml:space="preserve"> mit drei Filialen in Leipzig (Gohlis, Schleußig, Lindenau). Im Frühjahr 2026 stand die Expansion in den Stadtteil Connewitz an. Nach längeren Verhandlungen mit dem Eigentümer des Ladenlokals Erbenstraße 88 — Herrn </w:t>
      </w:r>
      <w:r>
        <w:rPr>
          <w:b/>
        </w:rPr>
        <w:t>Friedhelm Ratschke</w:t>
      </w:r>
      <w:r>
        <w:t xml:space="preserve"> (Vermieter, wohnhaft Markkleeberg) — unterzeichnete die Mandantin am </w:t>
      </w:r>
      <w:r>
        <w:rPr>
          <w:b/>
        </w:rPr>
        <w:t>03. Februar 2026</w:t>
      </w:r>
      <w:r>
        <w:t xml:space="preserve"> einen Pachtvertrag.</w:t>
      </w:r>
    </w:p>
    <w:p>
      <w:pPr>
        <w:jc w:val="left"/>
      </w:pPr>
      <w:r>
        <w:rPr>
          <w:b/>
        </w:rPr>
        <w:t>Kernproblem Pachtvertrag:</w:t>
      </w:r>
      <w:r>
        <w:t xml:space="preserve"> Die Mandantin erklärt, sie habe sich beim Unterzeichnen auf den monatlichen Pachtzins geirrt. Im Vertrag steht </w:t>
      </w:r>
      <w:r>
        <w:rPr>
          <w:b/>
        </w:rPr>
        <w:t>9.800 EUR</w:t>
      </w:r>
      <w:r>
        <w:t xml:space="preserve"> netto pro Monat; nach ihrer festen Überzeugung habe sie mit Herrn Ratschke </w:t>
      </w:r>
      <w:r>
        <w:rPr>
          <w:b/>
        </w:rPr>
        <w:t>4.900 EUR</w:t>
      </w:r>
      <w:r>
        <w:t xml:space="preserve"> pro Monat vereinbart. Sie gibt an, am Unterzeichnungstag unter erheblichem Renovierungsstress gestanden und kurz zuvor </w:t>
      </w:r>
      <w:r>
        <w:rPr>
          <w:b/>
        </w:rPr>
        <w:t>Tilidin</w:t>
      </w:r>
      <w:r>
        <w:t xml:space="preserve"> (Schmerzmittel nach einem Bandscheibenvorfall LWS, verschrieben von Dr. med. Petra Holzmann, Facharzt für Orthopädie, Leipzig) eingenommen zu haben. Sie habe dem Vertrag keine besondere Aufmerksamkeit gewidmet und die Ziffer 9.800 schlicht übersehen bzw. verwechselt.</w:t>
      </w:r>
    </w:p>
    <w:p>
      <w:pPr>
        <w:jc w:val="left"/>
      </w:pPr>
      <w:r>
        <w:rPr>
          <w:b/>
        </w:rPr>
        <w:t>Container-Bestellung:</w:t>
      </w:r>
      <w:r>
        <w:t xml:space="preserve"> Der Kanzlei-Praktikant </w:t>
      </w:r>
      <w:r>
        <w:rPr>
          <w:b/>
        </w:rPr>
        <w:t>Kevin Lübbers</w:t>
      </w:r>
      <w:r>
        <w:t xml:space="preserve"> (1. Lehrjahr, angehender Bürokaufmann) habe in seiner vermeintlichen Eigenschaft als „Beschaffungsbeauftragter" der </w:t>
      </w:r>
      <w:r>
        <w:rPr>
          <w:b/>
        </w:rPr>
        <w:t>Pohlmanns Suppentopf Verwaltungs-GmbH</w:t>
      </w:r>
      <w:r>
        <w:t xml:space="preserve"> — der Komplementär-GmbH — zwei Bürocontainer bei der Firma Containerlogistik Meißen GmbH für insgesamt </w:t>
      </w:r>
      <w:r>
        <w:rPr>
          <w:b/>
        </w:rPr>
        <w:t>22.000 EUR</w:t>
      </w:r>
      <w:r>
        <w:t xml:space="preserve"> bestellt. Eine schriftliche Vollmacht habe Kevin Lübbers nicht besessen; er habe auf eine mündliche Ermächtigung „zur Besorgung von Büromaterial" verwiesen, die er dahin interpretiert habe, auch Bürocontainer umzufassen. Die Mandantin bestreitet jede Vollmachtserteilung für diesen Kauf ausdrücklich.</w:t>
      </w:r>
    </w:p>
    <w:p>
      <w:pPr>
        <w:jc w:val="left"/>
      </w:pPr>
      <w:r>
        <w:rPr>
          <w:b/>
        </w:rPr>
        <w:t>Convotherm-Öfen:</w:t>
      </w:r>
      <w:r>
        <w:t xml:space="preserve"> Die Gesellschaft hat 12 Industrieöfen der Marke Convotherm (Combi-Dämpfer Typ OES 20.10) zum Gesamtpreis von 220.000 EUR erworben. Convotherm Elektrogeräte GmbH (Kaufbeuren) hat gemäß § 455 BGB a.F. (vertraglicher Eigentumsvorbehalt) das Eigentum zurückbehalten; die letzte Kaufpreisrate von 44.000 EUR ist noch offen. Die Mandantin hat drei Öfen bereits an eine andere Gastronomin (Frau Gabi Schlotterhose, Leipzig-Reudnitz) veräußert. Die Frage der gutgläubigen Übereignung (§ 932 BGB) und des verlängerten Eigentumsvorbehalts ist ungeklärt.</w:t>
      </w:r>
    </w:p>
    <w:p/>
    <w:p>
      <w:pPr>
        <w:pStyle w:val="Heading2"/>
      </w:pPr>
      <w:r>
        <w:rPr>
          <w:rFonts w:ascii="Times New Roman" w:hAnsi="Times New Roman"/>
        </w:rPr>
        <w:t>2. Erste Rechtliche Einschätzung</w:t>
      </w:r>
    </w:p>
    <w:p>
      <w:pPr>
        <w:pStyle w:val="Heading3"/>
      </w:pPr>
      <w:r>
        <w:rPr>
          <w:rFonts w:ascii="Times New Roman" w:hAnsi="Times New Roman"/>
        </w:rPr>
        <w:t>2.1 Anfechtung Pachtvertrag (§ 119 Abs. 1 BGB)</w:t>
      </w:r>
    </w:p>
    <w:p>
      <w:pPr>
        <w:jc w:val="left"/>
      </w:pPr>
      <w:r>
        <w:t xml:space="preserve">Nach dem Vortrag der Mandantin kommt ein </w:t>
      </w:r>
      <w:r>
        <w:rPr>
          <w:b/>
        </w:rPr>
        <w:t>Erklärungsirrtum</w:t>
      </w:r>
      <w:r>
        <w:t xml:space="preserve"> gemäß § 119 Abs. 1 Alt. 1 BGB in Betracht. Ein Erklärungsirrtum liegt vor, wenn der Erklärende bei der Abgabe der Erklärung die Bedeutung oder den Inhalt seiner Willenserklärung verkennt — hier: die Höhe des versprochenen Entgelts (9.800 statt der gewollten 4.900 EUR).</w:t>
      </w:r>
    </w:p>
    <w:p>
      <w:pPr>
        <w:jc w:val="left"/>
      </w:pPr>
      <w:r>
        <w:rPr>
          <w:b/>
        </w:rPr>
        <w:t>Prüfungsfolge:</w:t>
      </w:r>
    </w:p>
    <w:p>
      <w:pPr>
        <w:pStyle w:val="ListNumber"/>
      </w:pPr>
      <w:r>
        <w:t>Willenserklärung vorhanden? (+) — unterzeichneter Pachtvertrag.</w:t>
      </w:r>
    </w:p>
    <w:p>
      <w:pPr>
        <w:pStyle w:val="ListNumber"/>
      </w:pPr>
      <w:r>
        <w:t xml:space="preserve">Erklärungsirrtum § 119 Abs. 1? — Die Mandantin wollte eine andere Zahl erklären als sie erklärt hat (Verschreiben / Verlesen). Zu prüfen: Ob ein reiner </w:t>
      </w:r>
      <w:r>
        <w:rPr>
          <w:b/>
        </w:rPr>
        <w:t>Motivirrtum</w:t>
      </w:r>
      <w:r>
        <w:t xml:space="preserve"> vorliegt, der nicht zur Anfechtung berechtigt; oder ob sie sich über den Inhalt der Urkunde selbst geirrt hat (Inhaltsirrtum / Erklärungsirrtum). Nach dem Sachvortrag: Sie hat den Vertrag unterschrieben, ohne die Pachtzinsziffer zu lesen — ein klassischer Erklärungsirrtum.</w:t>
      </w:r>
    </w:p>
    <w:p>
      <w:pPr>
        <w:pStyle w:val="ListNumber"/>
      </w:pPr>
      <w:r>
        <w:t>Unverzüglichkeit § 121 BGB? — Vertragsschluss 03.02.2026; Erstgespräch 14.03.2026. Zeitabstand ca. 39 Tage — im Grenzbereich. Herr Ratschke wird die Anfechtungsfrist rügen.</w:t>
      </w:r>
    </w:p>
    <w:p>
      <w:pPr>
        <w:pStyle w:val="ListNumber"/>
      </w:pPr>
      <w:r>
        <w:t>Anfechtungsgegner: Herr Ratschke als Vertragspartner (§ 143 Abs. 1 BGB).</w:t>
      </w:r>
    </w:p>
    <w:p>
      <w:pPr>
        <w:pStyle w:val="ListNumber"/>
      </w:pPr>
      <w:r>
        <w:t>Rechtsfolge: ex tunc Nichtigkeit, § 142 Abs. 1 BGB; Schadensersatzpflicht aus §§ 122 Abs. 1 BGB (Vertrauensschaden) ist zu beachten.</w:t>
      </w:r>
    </w:p>
    <w:p>
      <w:pPr>
        <w:jc w:val="left"/>
      </w:pPr>
      <w:r>
        <w:rPr>
          <w:b/>
        </w:rPr>
        <w:t>Parallelprüfung § 105 Abs. 2 BGB (vorübergehende Geschäftsunfähigkeit):</w:t>
      </w:r>
      <w:r>
        <w:t xml:space="preserve"> Die Tilidin-Einnahme kurz vor Unterzeichnung ist gesondert zu prüfen (Aktenstück 05).</w:t>
      </w:r>
    </w:p>
    <w:p>
      <w:pPr>
        <w:pStyle w:val="Heading3"/>
      </w:pPr>
      <w:r>
        <w:rPr>
          <w:rFonts w:ascii="Times New Roman" w:hAnsi="Times New Roman"/>
        </w:rPr>
        <w:t>2.2 Falsus Procurator Praktikant Lübbers (§§ 177, 179 BGB)</w:t>
      </w:r>
    </w:p>
    <w:p>
      <w:pPr>
        <w:jc w:val="left"/>
      </w:pPr>
      <w:r>
        <w:t xml:space="preserve">Der Vertragsschluss durch Kevin Lübbers ohne Vollmacht begründet einen </w:t>
      </w:r>
      <w:r>
        <w:rPr>
          <w:b/>
        </w:rPr>
        <w:t>schwebend unwirksamen Vertrag</w:t>
      </w:r>
      <w:r>
        <w:t xml:space="preserve"> gemäß § 177 Abs. 1 BGB. Die Mandantin als Vertretene kann genehmigen oder die Genehmigung verweigern. Bei Verweigerung haftet Lübbers als </w:t>
      </w:r>
      <w:r>
        <w:rPr>
          <w:b/>
        </w:rPr>
        <w:t>falsus procurator</w:t>
      </w:r>
      <w:r>
        <w:t xml:space="preserve"> gemäß § 179 BGB dem Vertragspartner (Containerlogistik Meißen GmbH) nach Wahl entweder auf Erfüllung oder auf Schadensersatz — sofern Lübbers schuldhaft gehandelt hat und der Mangel der Vertretungsmacht nicht bekannt war.</w:t>
      </w:r>
    </w:p>
    <w:p>
      <w:pPr>
        <w:pStyle w:val="Heading3"/>
      </w:pPr>
      <w:r>
        <w:rPr>
          <w:rFonts w:ascii="Times New Roman" w:hAnsi="Times New Roman"/>
        </w:rPr>
        <w:t>2.3 Offene Punkte</w:t>
      </w:r>
    </w:p>
    <w:p>
      <w:pPr>
        <w:pStyle w:val="ListBullet"/>
      </w:pPr>
      <w:r>
        <w:t>Originalvertrag Pachtvertrag (noch nicht vorgelegt)</w:t>
      </w:r>
    </w:p>
    <w:p>
      <w:pPr>
        <w:pStyle w:val="ListBullet"/>
      </w:pPr>
      <w:r>
        <w:t>Vollständige Krankenakte Tilidin (Vorlage bis 20.03.2026 erbeten)</w:t>
      </w:r>
    </w:p>
    <w:p>
      <w:pPr>
        <w:pStyle w:val="ListBullet"/>
      </w:pPr>
      <w:r>
        <w:t>Sicherungsübereignung Convotherm-Öfen — Klärung mit Convotherm-Anwalt erforderlich</w:t>
      </w:r>
    </w:p>
    <w:p>
      <w:pPr>
        <w:pStyle w:val="ListBullet"/>
      </w:pPr>
      <w:r>
        <w:t>Vollmachtsurkunde / Arbeitsvertrag Lübbers anfordern</w:t>
      </w:r>
    </w:p>
    <w:p/>
    <w:p>
      <w:pPr>
        <w:pStyle w:val="Heading2"/>
      </w:pPr>
      <w:r>
        <w:rPr>
          <w:rFonts w:ascii="Times New Roman" w:hAnsi="Times New Roman"/>
        </w:rPr>
        <w:t>3. Mandatsumfang / Vergütung</w:t>
      </w:r>
    </w:p>
    <w:p>
      <w:pPr>
        <w:jc w:val="left"/>
      </w:pPr>
      <w:r>
        <w:t>Stundenhonorar 280 EUR zzgl. MwSt. auf Basis RVG-Rahmen; Kostenvorschuss 3.500 EUR brutto angefordert (Quittung in Akte). Vollmacht unterzeichnet.</w:t>
      </w:r>
    </w:p>
    <w:p/>
    <w:p>
      <w:pPr>
        <w:pStyle w:val="Heading2"/>
      </w:pPr>
      <w:r>
        <w:rPr>
          <w:rFonts w:ascii="Times New Roman" w:hAnsi="Times New Roman"/>
        </w:rPr>
        <w:t>4. Nächste Schritte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Frist</w:t>
            </w:r>
          </w:p>
        </w:tc>
        <w:tc>
          <w:tcPr>
            <w:tcW w:type="dxa" w:w="4536"/>
          </w:tcPr>
          <w:p>
            <w:r>
              <w:rPr>
                <w:rFonts w:ascii="Times New Roman" w:hAnsi="Times New Roman"/>
                <w:b/>
                <w:sz w:val="20"/>
              </w:rPr>
              <w:t>Maßnahme</w:t>
            </w:r>
          </w:p>
        </w:tc>
      </w:tr>
      <w:tr>
        <w:tc>
          <w:tcPr>
            <w:tcW w:type="dxa" w:w="4536"/>
          </w:tcPr>
          <w:p>
            <w:r>
              <w:rPr>
                <w:rFonts w:ascii="Times New Roman" w:hAnsi="Times New Roman"/>
                <w:sz w:val="20"/>
              </w:rPr>
              <w:t>17.03.2026</w:t>
            </w:r>
          </w:p>
        </w:tc>
        <w:tc>
          <w:tcPr>
            <w:tcW w:type="dxa" w:w="4536"/>
          </w:tcPr>
          <w:p>
            <w:r>
              <w:rPr>
                <w:rFonts w:ascii="Times New Roman" w:hAnsi="Times New Roman"/>
                <w:sz w:val="20"/>
              </w:rPr>
              <w:t>Anfechtungserklärung Pachtvertrag entwerfen (§§ 119, 121, 143 BGB)</w:t>
            </w:r>
          </w:p>
        </w:tc>
      </w:tr>
      <w:tr>
        <w:tc>
          <w:tcPr>
            <w:tcW w:type="dxa" w:w="4536"/>
          </w:tcPr>
          <w:p>
            <w:r>
              <w:rPr>
                <w:rFonts w:ascii="Times New Roman" w:hAnsi="Times New Roman"/>
                <w:sz w:val="20"/>
              </w:rPr>
              <w:t>20.03.2026</w:t>
            </w:r>
          </w:p>
        </w:tc>
        <w:tc>
          <w:tcPr>
            <w:tcW w:type="dxa" w:w="4536"/>
          </w:tcPr>
          <w:p>
            <w:r>
              <w:rPr>
                <w:rFonts w:ascii="Times New Roman" w:hAnsi="Times New Roman"/>
                <w:sz w:val="20"/>
              </w:rPr>
              <w:t>Schreiben an Containerlogistik Meißen GmbH: Genehmigung verweigern</w:t>
            </w:r>
          </w:p>
        </w:tc>
      </w:tr>
      <w:tr>
        <w:tc>
          <w:tcPr>
            <w:tcW w:type="dxa" w:w="4536"/>
          </w:tcPr>
          <w:p>
            <w:r>
              <w:rPr>
                <w:rFonts w:ascii="Times New Roman" w:hAnsi="Times New Roman"/>
                <w:sz w:val="20"/>
              </w:rPr>
              <w:t>25.03.2026</w:t>
            </w:r>
          </w:p>
        </w:tc>
        <w:tc>
          <w:tcPr>
            <w:tcW w:type="dxa" w:w="4536"/>
          </w:tcPr>
          <w:p>
            <w:r>
              <w:rPr>
                <w:rFonts w:ascii="Times New Roman" w:hAnsi="Times New Roman"/>
                <w:sz w:val="20"/>
              </w:rPr>
              <w:t>Akteneinsicht LG Leipzig 4 O 188/26 beantragen (soweit bereits eingetragen)</w:t>
            </w:r>
          </w:p>
        </w:tc>
      </w:tr>
      <w:tr>
        <w:tc>
          <w:tcPr>
            <w:tcW w:type="dxa" w:w="4536"/>
          </w:tcPr>
          <w:p>
            <w:r>
              <w:rPr>
                <w:rFonts w:ascii="Times New Roman" w:hAnsi="Times New Roman"/>
                <w:sz w:val="20"/>
              </w:rPr>
              <w:t>30.03.2026</w:t>
            </w:r>
          </w:p>
        </w:tc>
        <w:tc>
          <w:tcPr>
            <w:tcW w:type="dxa" w:w="4536"/>
          </w:tcPr>
          <w:p>
            <w:r>
              <w:rPr>
                <w:rFonts w:ascii="Times New Roman" w:hAnsi="Times New Roman"/>
                <w:sz w:val="20"/>
              </w:rPr>
              <w:t>Attest Dr. Holzmann einholen; ggf. Gutachter benennen</w:t>
            </w:r>
          </w:p>
        </w:tc>
      </w:tr>
    </w:tbl>
    <w:p>
      <w:pPr>
        <w:jc w:val="left"/>
      </w:pPr>
      <w:r>
        <w:rPr>
          <w:b/>
        </w:rPr>
        <w:t>Quellen:</w:t>
      </w:r>
    </w:p>
    <w:p>
      <w:pPr>
        <w:jc w:val="left"/>
      </w:pPr>
      <w:r>
        <w:t>§§ 119, 121, 122, 142, 143, 177, 179 BGB — dejure.org: https://dejure.org/gesetze/BGB</w:t>
      </w:r>
    </w:p>
    <w:p>
      <w:pPr>
        <w:jc w:val="left"/>
      </w:pPr>
      <w:r>
        <w:t>BGH NJW 1995, 190 (Erklärungsirrtum); BGH NJW 2010, 3787 (falsus procurator)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GmbH &amp; Co. KG</w:t>
    </w:r>
  </w:p>
  <w:p>
    <w:pPr>
      <w:jc w:val="left"/>
      <w:pBdr>
        <w:bottom w:val="single" w:sz="6" w:space="2" w:color="2C5230"/>
      </w:pBdr>
    </w:pPr>
    <w:r>
      <w:rPr>
        <w:rFonts w:ascii="Times New Roman" w:hAnsi="Times New Roman"/>
        <w:color w:val="6B6B66"/>
        <w:sz w:val="16"/>
      </w:rPr>
      <w:t>geb. 12.07.1973, Inhaberin „Pohlmanns Suppentopf" GmbH &amp; Co. KG · Aktenzeichen intern: LEI-2026-088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