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Gutachten: Schwebende Unwirksamkeit und Haftung falsus procurator — §§ 177, 179 BGB</w:t>
      </w:r>
    </w:p>
    <w:p>
      <w:pPr>
        <w:jc w:val="left"/>
      </w:pPr>
      <w:r>
        <w:rPr>
          <w:b/>
        </w:rPr>
        <w:t>Bearbeiter:</w:t>
      </w:r>
      <w:r>
        <w:t xml:space="preserve"> RA Dr. Heinrich Schweizer-Loberg</w:t>
      </w:r>
    </w:p>
    <w:p>
      <w:pPr>
        <w:jc w:val="left"/>
      </w:pPr>
      <w:r>
        <w:rPr>
          <w:b/>
        </w:rPr>
        <w:t>Datum:</w:t>
      </w:r>
      <w:r>
        <w:t xml:space="preserve"> 24. März 2026</w:t>
      </w:r>
    </w:p>
    <w:p>
      <w:pPr>
        <w:jc w:val="left"/>
      </w:pPr>
      <w:r>
        <w:rPr>
          <w:b/>
        </w:rPr>
        <w:t>Bezug:</w:t>
      </w:r>
      <w:r>
        <w:t xml:space="preserve"> Containerbestellung Kevin Lübbers / Containerlogistik Meißen GmbH; AG Leipzig 105 C 4188/26</w:t>
      </w:r>
    </w:p>
    <w:p/>
    <w:p>
      <w:pPr>
        <w:pStyle w:val="Heading2"/>
      </w:pPr>
      <w:r>
        <w:rPr>
          <w:rFonts w:ascii="Times New Roman" w:hAnsi="Times New Roman"/>
        </w:rPr>
        <w:t>I. Sachverhalt (Kurzfassung)</w:t>
      </w:r>
    </w:p>
    <w:p>
      <w:pPr>
        <w:jc w:val="left"/>
      </w:pPr>
      <w:r>
        <w:t xml:space="preserve">Kevin Lübbers (17 Jahre, Auszubildender 1. Lehrjahr Bürokaufmann) hat am 28. Januar 2026 im Namen der </w:t>
      </w:r>
      <w:r>
        <w:rPr>
          <w:b/>
        </w:rPr>
        <w:t>Pohlmanns Suppentopf Verwaltungs-GmbH</w:t>
      </w:r>
      <w:r>
        <w:t xml:space="preserve"> (im Folgenden: GmbH) zwei Bürocontainer vom Typ „BüroBox Comfort 20-Fuß" bei der </w:t>
      </w:r>
      <w:r>
        <w:rPr>
          <w:b/>
        </w:rPr>
        <w:t>Containerlogistik Meißen GmbH</w:t>
      </w:r>
      <w:r>
        <w:t xml:space="preserve"> zum Gesamtpreis von </w:t>
      </w:r>
      <w:r>
        <w:rPr>
          <w:b/>
        </w:rPr>
        <w:t>22.000 EUR</w:t>
      </w:r>
      <w:r>
        <w:t xml:space="preserve"> (netto; brutto 26.180 EUR) bestellt. Lübbers legte kein schriftliches Vollmachtsdokument vor; er berief sich auf eine mündliche Ermächtigung der Geschäftsführerin P, „Büromaterial zu beschaffen". P bestreitet, Lübbers zu einem solch weitreichenden Geschäft bevollmächtigt zu haben.</w:t>
      </w:r>
    </w:p>
    <w:p/>
    <w:p>
      <w:pPr>
        <w:pStyle w:val="Heading2"/>
      </w:pPr>
      <w:r>
        <w:rPr>
          <w:rFonts w:ascii="Times New Roman" w:hAnsi="Times New Roman"/>
        </w:rPr>
        <w:t>II. Prüfungsschema</w:t>
      </w:r>
    </w:p>
    <w:p>
      <w:pPr>
        <w:pStyle w:val="Heading3"/>
      </w:pPr>
      <w:r>
        <w:rPr>
          <w:rFonts w:ascii="Times New Roman" w:hAnsi="Times New Roman"/>
        </w:rPr>
        <w:t>A. Wirksamer Vertragsschluss — Wirksamkeitsvoraussetzungen</w:t>
      </w:r>
    </w:p>
    <w:p>
      <w:pPr>
        <w:jc w:val="left"/>
      </w:pPr>
      <w:r>
        <w:rPr>
          <w:b/>
        </w:rPr>
        <w:t>1. Vertretergeschäft, § 164 Abs. 1 BGB</w:t>
      </w:r>
    </w:p>
    <w:p>
      <w:pPr>
        <w:jc w:val="left"/>
      </w:pPr>
      <w:r>
        <w:t>Voraussetzungen für wirksame Stellvertretung:</w:t>
      </w:r>
    </w:p>
    <w:p>
      <w:pPr>
        <w:pStyle w:val="ListNumber"/>
      </w:pPr>
      <w:r>
        <w:t>Eigene Willenserklärung des Vertreters</w:t>
      </w:r>
    </w:p>
    <w:p>
      <w:pPr>
        <w:pStyle w:val="ListNumber"/>
      </w:pPr>
      <w:r>
        <w:t>Im Namen des Vertretenen (Offenkundigkeitsprinzip)</w:t>
      </w:r>
    </w:p>
    <w:p>
      <w:pPr>
        <w:pStyle w:val="ListNumber"/>
      </w:pPr>
      <w:r>
        <w:t>Mit Vertretungsmacht</w:t>
      </w:r>
    </w:p>
    <w:p>
      <w:pPr>
        <w:jc w:val="left"/>
      </w:pPr>
      <w:r>
        <w:t>Lübbers hat im Namen der GmbH gehandelt und eine eigene Willenserklärung abgegeben — Punkte (1) und (2) liegen vor. Problematisch ist Punkt (3).</w:t>
      </w:r>
    </w:p>
    <w:p>
      <w:pPr>
        <w:jc w:val="left"/>
      </w:pPr>
      <w:r>
        <w:rPr>
          <w:b/>
        </w:rPr>
        <w:t>2. Fehlen der Vertretungsmacht</w:t>
      </w:r>
    </w:p>
    <w:p>
      <w:pPr>
        <w:jc w:val="left"/>
      </w:pPr>
      <w:r>
        <w:t>Eine ausdrückliche schriftliche Vollmacht liegt nicht vor. P bestreitet, Lübbers für dieses Geschäft bevollmächtigt zu haben. Die behauptete mündliche Ermächtigung „zur Beschaffung von Büromaterial" ist nach Wortlaut und Umfang nicht auf ein Geschäft im Wert von 22.000 EUR ausgerichtet (Auslegung §§ 133, 157 BGB). Bürocontainer sind kein „Büromaterial" im herkömmlichen Sinne — kein schutzwürdiger Empfängerhorizont, der eine so weite Auslegung stützt.</w:t>
      </w:r>
    </w:p>
    <w:p>
      <w:pPr>
        <w:jc w:val="left"/>
      </w:pPr>
      <w:r>
        <w:rPr>
          <w:b/>
        </w:rPr>
        <w:t>Ergebnis:</w:t>
      </w:r>
      <w:r>
        <w:t xml:space="preserve"> Lübbers handelte ohne Vertretungsmacht.</w:t>
      </w:r>
    </w:p>
    <w:p/>
    <w:p>
      <w:pPr>
        <w:pStyle w:val="Heading3"/>
      </w:pPr>
      <w:r>
        <w:rPr>
          <w:rFonts w:ascii="Times New Roman" w:hAnsi="Times New Roman"/>
        </w:rPr>
        <w:t>B. Schwebende Unwirksamkeit, § 177 Abs. 1 BGB</w:t>
      </w:r>
    </w:p>
    <w:p>
      <w:pPr>
        <w:jc w:val="left"/>
      </w:pPr>
      <w:r>
        <w:rPr>
          <w:b/>
        </w:rPr>
        <w:t>Definition:</w:t>
      </w:r>
      <w:r>
        <w:t xml:space="preserve"> Hat jemand ohne Vertretungsmacht im Namen eines anderen kontrahiert, so hängt die Wirksamkeit des Vertrags für und gegen den Vertretenen von dessen Genehmigung ab.</w:t>
      </w:r>
    </w:p>
    <w:p>
      <w:pPr>
        <w:jc w:val="left"/>
      </w:pPr>
      <w:r>
        <w:rPr>
          <w:b/>
        </w:rPr>
        <w:t>Rechtsfolge bei fehlender Genehmigung:</w:t>
      </w:r>
      <w:r>
        <w:t xml:space="preserve"> Der Vertrag ist </w:t>
      </w:r>
      <w:r>
        <w:rPr>
          <w:b/>
        </w:rPr>
        <w:t>schwebend unwirksam</w:t>
      </w:r>
      <w:r>
        <w:t xml:space="preserve"> — weder wirksam noch endgültig nichtig, bis der Vertretene genehmigt oder die Genehmigung verweigert.</w:t>
      </w:r>
    </w:p>
    <w:p>
      <w:pPr>
        <w:jc w:val="left"/>
      </w:pPr>
      <w:r>
        <w:rPr>
          <w:b/>
        </w:rPr>
        <w:t>Rechte des Vertragspartners (Containerlogistik Meißen GmbH):</w:t>
      </w:r>
    </w:p>
    <w:p>
      <w:pPr>
        <w:pStyle w:val="ListBullet"/>
      </w:pPr>
      <w:r>
        <w:t>Aufforderung zur Erklärung, § 177 Abs. 2 BGB: Der Vertragspartner kann den Vertretenen zur Erklärung auffordern; schweigt dieser nach Aufforderung innerhalb einer angemessenen Frist, gilt die Genehmigung als verweigert.</w:t>
      </w:r>
    </w:p>
    <w:p>
      <w:pPr>
        <w:pStyle w:val="ListBullet"/>
      </w:pPr>
      <w:r>
        <w:t>Containerlogistik Meißen GmbH hat mit Schreiben vom 15.03.2026 die GmbH aufgefordert, innerhalb von zwei Wochen zu erklären, ob sie genehmigt.</w:t>
      </w:r>
    </w:p>
    <w:p>
      <w:pPr>
        <w:jc w:val="left"/>
      </w:pPr>
      <w:r>
        <w:rPr>
          <w:b/>
        </w:rPr>
        <w:t>Genehmigungsverweigerung:</w:t>
      </w:r>
      <w:r>
        <w:t xml:space="preserve"> P hat für die GmbH mit Schreiben vom 25.03.2026 die Genehmigung ausdrücklich verweigert. Der Vertrag ist damit endgültig unwirksam für die GmbH.</w:t>
      </w:r>
    </w:p>
    <w:p/>
    <w:p>
      <w:pPr>
        <w:pStyle w:val="Heading3"/>
      </w:pPr>
      <w:r>
        <w:rPr>
          <w:rFonts w:ascii="Times New Roman" w:hAnsi="Times New Roman"/>
        </w:rPr>
        <w:t>C. Haftung des falsus procurator, § 179 BGB</w:t>
      </w:r>
    </w:p>
    <w:p>
      <w:pPr>
        <w:jc w:val="left"/>
      </w:pPr>
      <w:r>
        <w:rPr>
          <w:b/>
        </w:rPr>
        <w:t>Anspruchsgrundlage § 179 Abs. 1 BGB:</w:t>
      </w:r>
    </w:p>
    <w:p>
      <w:pPr>
        <w:jc w:val="left"/>
      </w:pPr>
      <w:r>
        <w:t>„Wer als Vertreter ohne Vertretungsmacht gehandelt hat, haftet, sofern nicht der andere Teil den Mangel der Vertretungsmacht kannte oder kennen musste, nach Wahl des anderen Teils auf Erfüllung oder auf Schadensersatz."</w:t>
      </w:r>
    </w:p>
    <w:p>
      <w:pPr>
        <w:jc w:val="left"/>
      </w:pPr>
      <w:r>
        <w:rPr>
          <w:b/>
        </w:rPr>
        <w:t>Tatbestandsmerkmale: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Merkmal</w:t>
            </w:r>
          </w:p>
        </w:tc>
        <w:tc>
          <w:tcPr>
            <w:tcW w:type="dxa" w:w="4536"/>
          </w:tcPr>
          <w:p>
            <w:r>
              <w:rPr>
                <w:rFonts w:ascii="Times New Roman" w:hAnsi="Times New Roman"/>
                <w:b/>
                <w:sz w:val="20"/>
              </w:rPr>
              <w:t>Subsumtion</w:t>
            </w:r>
          </w:p>
        </w:tc>
      </w:tr>
      <w:tr>
        <w:tc>
          <w:tcPr>
            <w:tcW w:type="dxa" w:w="4536"/>
          </w:tcPr>
          <w:p>
            <w:r>
              <w:rPr>
                <w:rFonts w:ascii="Times New Roman" w:hAnsi="Times New Roman"/>
                <w:sz w:val="20"/>
              </w:rPr>
              <w:t>Vertreter ohne Vertretungsmacht</w:t>
            </w:r>
          </w:p>
        </w:tc>
        <w:tc>
          <w:tcPr>
            <w:tcW w:type="dxa" w:w="4536"/>
          </w:tcPr>
          <w:p>
            <w:r>
              <w:rPr>
                <w:rFonts w:ascii="Times New Roman" w:hAnsi="Times New Roman"/>
                <w:sz w:val="20"/>
              </w:rPr>
              <w:t>Lübbers: (+) — keine Vollmacht nachgewiesen</w:t>
            </w:r>
          </w:p>
        </w:tc>
      </w:tr>
      <w:tr>
        <w:tc>
          <w:tcPr>
            <w:tcW w:type="dxa" w:w="4536"/>
          </w:tcPr>
          <w:p>
            <w:r>
              <w:rPr>
                <w:rFonts w:ascii="Times New Roman" w:hAnsi="Times New Roman"/>
                <w:sz w:val="20"/>
              </w:rPr>
              <w:t>Kenntnis / Kennenmüssen der Meißen GmbH</w:t>
            </w:r>
          </w:p>
        </w:tc>
        <w:tc>
          <w:tcPr>
            <w:tcW w:type="dxa" w:w="4536"/>
          </w:tcPr>
          <w:p>
            <w:r>
              <w:rPr>
                <w:rFonts w:ascii="Times New Roman" w:hAnsi="Times New Roman"/>
                <w:sz w:val="20"/>
              </w:rPr>
              <w:t>Meißen GmbH hat kein Vollmachtsdokument verlangt; Lübbers war als Auszubildender erkennbar jung (17 J.); fragwürdig ob Meißen kennen musste — (+/-)</w:t>
            </w:r>
          </w:p>
        </w:tc>
      </w:tr>
      <w:tr>
        <w:tc>
          <w:tcPr>
            <w:tcW w:type="dxa" w:w="4536"/>
          </w:tcPr>
          <w:p>
            <w:r>
              <w:rPr>
                <w:rFonts w:ascii="Times New Roman" w:hAnsi="Times New Roman"/>
                <w:sz w:val="20"/>
              </w:rPr>
              <w:t>Wahlrecht: Erfüllung oder Schadensersatz</w:t>
            </w:r>
          </w:p>
        </w:tc>
        <w:tc>
          <w:tcPr>
            <w:tcW w:type="dxa" w:w="4536"/>
          </w:tcPr>
          <w:p>
            <w:r>
              <w:rPr>
                <w:rFonts w:ascii="Times New Roman" w:hAnsi="Times New Roman"/>
                <w:sz w:val="20"/>
              </w:rPr>
              <w:t>Meißen GmbH wählt Schadensersatz (Gewinnmarge entgangen, Aufwand)</w:t>
            </w:r>
          </w:p>
        </w:tc>
      </w:tr>
    </w:tbl>
    <w:p>
      <w:pPr>
        <w:jc w:val="left"/>
      </w:pPr>
      <w:r>
        <w:rPr>
          <w:b/>
        </w:rPr>
        <w:t>§ 179 Abs. 2 BGB (Reduktion auf Vertrauensschaden):</w:t>
      </w:r>
    </w:p>
    <w:p>
      <w:pPr>
        <w:jc w:val="left"/>
      </w:pPr>
      <w:r>
        <w:t>Wusste der Vertreter den Mangel der Vertretungsmacht nicht, haftet er nur auf Schadensersatz des negativen Interesses (Vertrauensschaden), nicht auf das positive Interesse (Erfüllung). Lübbers könnte gutgläubig geglaubt haben, er sei ermächtigt — dies würde die Haftung auf §§ 249 ff. BGB für den Vertrauensschaden beschränken.</w:t>
      </w:r>
    </w:p>
    <w:p>
      <w:pPr>
        <w:jc w:val="left"/>
      </w:pPr>
      <w:r>
        <w:rPr>
          <w:b/>
        </w:rPr>
        <w:t>§ 179 Abs. 3 S. 2 BGB (Minderjährigenschutz):</w:t>
      </w:r>
    </w:p>
    <w:p>
      <w:pPr>
        <w:jc w:val="left"/>
      </w:pPr>
      <w:r>
        <w:t xml:space="preserve">„Wenn der Vertreter minderjährig war, haftet er gemäß Abs. 2 nur, wenn er von dem Mangel der Vertretungsmacht wusste." Lübbers ist 17 Jahre alt — </w:t>
      </w:r>
      <w:r>
        <w:rPr>
          <w:b/>
        </w:rPr>
        <w:t>beschränkt geschäftsfähig</w:t>
      </w:r>
      <w:r>
        <w:t xml:space="preserve"> (§ 106 BGB). § 179 Abs. 3 S. 2 BGB könnte seine Haftung auf Kenntnis vom Vollmachtsmangel beschränken. Lübbers behauptet, er habe gutgläubig gehandelt. Falls er tatsächlich nicht wusste, dass seine „Ermächtigung" unzureichend war, entfällt seine Haftung nach § 179 BGB vollständig.</w:t>
      </w:r>
    </w:p>
    <w:p>
      <w:pPr>
        <w:jc w:val="left"/>
      </w:pPr>
      <w:r>
        <w:rPr>
          <w:b/>
        </w:rPr>
        <w:t>Praktische Konsequenz:</w:t>
      </w:r>
      <w:r>
        <w:t xml:space="preserve"> Die GmbH bleibt auf ihrem Nichtschaden sitzen; Meißen GmbH hat Anspruch gegen niemanden, außer sie kann nachweisen, dass Lübbers die Grenzen seiner Vollmacht kannte.</w:t>
      </w:r>
    </w:p>
    <w:p/>
    <w:p>
      <w:pPr>
        <w:pStyle w:val="Heading3"/>
      </w:pPr>
      <w:r>
        <w:rPr>
          <w:rFonts w:ascii="Times New Roman" w:hAnsi="Times New Roman"/>
        </w:rPr>
        <w:t>D. Anscheinsvollmacht (Prüfung hilfsweise)</w:t>
      </w:r>
    </w:p>
    <w:p>
      <w:pPr>
        <w:jc w:val="left"/>
      </w:pPr>
      <w:r>
        <w:rPr>
          <w:b/>
        </w:rPr>
        <w:t>Definition:</w:t>
      </w:r>
      <w:r>
        <w:t xml:space="preserve"> Eine Anscheinsvollmacht liegt vor, wenn der Vertretene das Auftreten des Vertreters über einen längeren Zeitraum duldet oder durch sein Verhalten einen Rechtsschein der Vollmacht setzt, auf den der Vertragspartner vertraut (BGH NJW 1966, 1915).</w:t>
      </w:r>
    </w:p>
    <w:p>
      <w:pPr>
        <w:jc w:val="left"/>
      </w:pPr>
      <w:r>
        <w:rPr>
          <w:b/>
        </w:rPr>
        <w:t>Subsumtion:</w:t>
      </w:r>
      <w:r>
        <w:t xml:space="preserve"> Lübbers ist Auszubildender im 1. Lehrjahr. Es gibt keine früheren Bestellungen namens der GmbH durch ihn. Eine Anscheinsvollmacht setzt voraus, dass der Vertretene die Handlungen hätte kennen und verhindern müssen — hier fehlen Anhaltspunkte für eine ständige Übung. Anscheinsvollmacht (–).</w:t>
      </w:r>
    </w:p>
    <w:p/>
    <w:p>
      <w:pPr>
        <w:pStyle w:val="Heading2"/>
      </w:pPr>
      <w:r>
        <w:rPr>
          <w:rFonts w:ascii="Times New Roman" w:hAnsi="Times New Roman"/>
        </w:rPr>
        <w:t>III. Ergebnis</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Frage</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Vertragsschluss GmbH–Meißen wirksam?</w:t>
            </w:r>
          </w:p>
        </w:tc>
        <w:tc>
          <w:tcPr>
            <w:tcW w:type="dxa" w:w="4536"/>
          </w:tcPr>
          <w:p>
            <w:r>
              <w:rPr>
                <w:rFonts w:ascii="Times New Roman" w:hAnsi="Times New Roman"/>
                <w:sz w:val="20"/>
              </w:rPr>
              <w:t>Nein — schwebend unwirksam (§ 177 Abs. 1 BGB)</w:t>
            </w:r>
          </w:p>
        </w:tc>
      </w:tr>
      <w:tr>
        <w:tc>
          <w:tcPr>
            <w:tcW w:type="dxa" w:w="4536"/>
          </w:tcPr>
          <w:p>
            <w:r>
              <w:rPr>
                <w:rFonts w:ascii="Times New Roman" w:hAnsi="Times New Roman"/>
                <w:sz w:val="20"/>
              </w:rPr>
              <w:t>Genehmigung durch GmbH?</w:t>
            </w:r>
          </w:p>
        </w:tc>
        <w:tc>
          <w:tcPr>
            <w:tcW w:type="dxa" w:w="4536"/>
          </w:tcPr>
          <w:p>
            <w:r>
              <w:rPr>
                <w:rFonts w:ascii="Times New Roman" w:hAnsi="Times New Roman"/>
                <w:sz w:val="20"/>
              </w:rPr>
              <w:t>Verweigert (25.03.2026) — endgültig unwirksam</w:t>
            </w:r>
          </w:p>
        </w:tc>
      </w:tr>
      <w:tr>
        <w:tc>
          <w:tcPr>
            <w:tcW w:type="dxa" w:w="4536"/>
          </w:tcPr>
          <w:p>
            <w:r>
              <w:rPr>
                <w:rFonts w:ascii="Times New Roman" w:hAnsi="Times New Roman"/>
                <w:sz w:val="20"/>
              </w:rPr>
              <w:t>Haftung Lübbers § 179 BGB?</w:t>
            </w:r>
          </w:p>
        </w:tc>
        <w:tc>
          <w:tcPr>
            <w:tcW w:type="dxa" w:w="4536"/>
          </w:tcPr>
          <w:p>
            <w:r>
              <w:rPr>
                <w:rFonts w:ascii="Times New Roman" w:hAnsi="Times New Roman"/>
                <w:sz w:val="20"/>
              </w:rPr>
              <w:t>Grds. ja; aber Minderjährigkeit (§ 179 Abs. 3 S. 2 BGB) begrenzt auf Kenntnis</w:t>
            </w:r>
          </w:p>
        </w:tc>
      </w:tr>
      <w:tr>
        <w:tc>
          <w:tcPr>
            <w:tcW w:type="dxa" w:w="4536"/>
          </w:tcPr>
          <w:p>
            <w:r>
              <w:rPr>
                <w:rFonts w:ascii="Times New Roman" w:hAnsi="Times New Roman"/>
                <w:sz w:val="20"/>
              </w:rPr>
              <w:t>Anscheinsvollmacht?</w:t>
            </w:r>
          </w:p>
        </w:tc>
        <w:tc>
          <w:tcPr>
            <w:tcW w:type="dxa" w:w="4536"/>
          </w:tcPr>
          <w:p>
            <w:r>
              <w:rPr>
                <w:rFonts w:ascii="Times New Roman" w:hAnsi="Times New Roman"/>
                <w:sz w:val="20"/>
              </w:rPr>
              <w:t>Nein</w:t>
            </w:r>
          </w:p>
        </w:tc>
      </w:tr>
      <w:tr>
        <w:tc>
          <w:tcPr>
            <w:tcW w:type="dxa" w:w="4536"/>
          </w:tcPr>
          <w:p>
            <w:r>
              <w:rPr>
                <w:rFonts w:ascii="Times New Roman" w:hAnsi="Times New Roman"/>
                <w:sz w:val="20"/>
              </w:rPr>
              <w:t>Empfehlung</w:t>
            </w:r>
          </w:p>
        </w:tc>
        <w:tc>
          <w:tcPr>
            <w:tcW w:type="dxa" w:w="4536"/>
          </w:tcPr>
          <w:p>
            <w:r>
              <w:rPr>
                <w:rFonts w:ascii="Times New Roman" w:hAnsi="Times New Roman"/>
                <w:sz w:val="20"/>
              </w:rPr>
              <w:t>Meißen GmbH muss Nachweis erbringen, dass Lübbers von Vollmachtsmangel wusste</w:t>
            </w:r>
          </w:p>
        </w:tc>
      </w:tr>
    </w:tbl>
    <w:p>
      <w:pPr>
        <w:jc w:val="left"/>
      </w:pPr>
      <w:r>
        <w:rPr>
          <w:b/>
        </w:rPr>
        <w:t>Empfehlung für Mandantin:</w:t>
      </w:r>
      <w:r>
        <w:t xml:space="preserve"> Genehmigung verweigern (bereits erfolgt). Gegenüber Meißen GmbH erklären, dass Lübbers ohne Vollmacht handelte und GmbH nicht haftet. Falls Meißen GmbH klagt: Einrede Nichtgenehmigung und Minderjährigenschutz Lübbers.</w:t>
      </w:r>
    </w:p>
    <w:p>
      <w:pPr>
        <w:jc w:val="left"/>
      </w:pPr>
      <w:r>
        <w:rPr>
          <w:b/>
        </w:rPr>
        <w:t>Quellen:</w:t>
      </w:r>
    </w:p>
    <w:p>
      <w:pPr>
        <w:jc w:val="left"/>
      </w:pPr>
      <w:r>
        <w:t>§§ 164, 177, 179 BGB: https://dejure.org/gesetze/BGB/177.html</w:t>
      </w:r>
    </w:p>
    <w:p>
      <w:pPr>
        <w:jc w:val="left"/>
      </w:pPr>
      <w:r>
        <w:t>BGH NJW 1966, 1915 (Anscheinsvollmacht): https://www.bundesgerichtshof.de</w:t>
      </w:r>
    </w:p>
    <w:p>
      <w:pPr>
        <w:jc w:val="left"/>
      </w:pPr>
      <w:r>
        <w:t>BGH NJW 2005, 2080 (falsus procurator, Minderjähriger): https://openjur.de</w:t>
      </w:r>
    </w:p>
    <w:p>
      <w:pPr>
        <w:jc w:val="left"/>
      </w:pPr>
      <w:r>
        <w:t>Staudinger/Schilken BGB (2019), § 179 Rn. 46 ff.</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Containerlogistik Meißen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1F3864"/>
        <w:sz w:val="24"/>
      </w:rPr>
      <w:t>Containerlogistik Meißen GmbH</w:t>
    </w:r>
  </w:p>
  <w:p>
    <w:pPr>
      <w:jc w:val="left"/>
      <w:pBdr>
        <w:bottom w:val="single" w:sz="6" w:space="2" w:color="1F3864"/>
      </w:pBdr>
    </w:pPr>
    <w:r>
      <w:rPr>
        <w:rFonts w:ascii="Times New Roman" w:hAnsi="Times New Roman"/>
        <w:color w:val="6B6B66"/>
        <w:sz w:val="16"/>
      </w:rPr>
      <w:t>Unternehmen · 105 C 4188/26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