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Schwebende Unwirksamkeit und Eigentumserwerb — §§ 184, 929, 932 BGB (Convotherm-Öfen)</w:t>
      </w:r>
    </w:p>
    <w:p>
      <w:pPr>
        <w:jc w:val="left"/>
      </w:pPr>
      <w:r>
        <w:rPr>
          <w:b/>
        </w:rPr>
        <w:t>Bearbeiter:</w:t>
      </w:r>
      <w:r>
        <w:t xml:space="preserve"> RA Dr. Heinrich Schweizer-Loberg</w:t>
      </w:r>
    </w:p>
    <w:p>
      <w:pPr>
        <w:jc w:val="left"/>
      </w:pPr>
      <w:r>
        <w:rPr>
          <w:b/>
        </w:rPr>
        <w:t>Datum:</w:t>
      </w:r>
      <w:r>
        <w:t xml:space="preserve"> 01. April 2026</w:t>
      </w:r>
    </w:p>
    <w:p>
      <w:pPr>
        <w:jc w:val="left"/>
      </w:pPr>
      <w:r>
        <w:rPr>
          <w:b/>
        </w:rPr>
        <w:t>Bezug:</w:t>
      </w:r>
      <w:r>
        <w:t xml:space="preserve"> OLG Dresden 12 U 22/26 (Berufungsverfahren); 12 Convotherm-Öfen; offene Rate 44.000 EUR</w:t>
      </w:r>
    </w:p>
    <w:p/>
    <w:p>
      <w:pPr>
        <w:pStyle w:val="Heading2"/>
      </w:pPr>
      <w:r>
        <w:rPr>
          <w:rFonts w:ascii="Times New Roman" w:hAnsi="Times New Roman"/>
        </w:rPr>
        <w:t>I. Sachverhalt</w:t>
      </w:r>
    </w:p>
    <w:p>
      <w:pPr>
        <w:jc w:val="left"/>
      </w:pPr>
      <w:r>
        <w:t xml:space="preserve">Die GmbH erwarb 12 Industrieöfen Convotherm Typ OES 20.10 (Combi-Dämpfer) zum Gesamtkaufpreis von 220.000 EUR. Im Kaufvertrag war ein </w:t>
      </w:r>
      <w:r>
        <w:rPr>
          <w:b/>
        </w:rPr>
        <w:t>einfacher Eigentumsvorbehalt</w:t>
      </w:r>
      <w:r>
        <w:t xml:space="preserve"> nach § 449 BGB vereinbart — Convotherm behielt bis zur vollständigen Kaufpreiszahlung das Eigentum. Die letzte Rate (44.000 EUR) ist noch offen.</w:t>
      </w:r>
    </w:p>
    <w:p>
      <w:pPr>
        <w:jc w:val="left"/>
      </w:pPr>
      <w:r>
        <w:t xml:space="preserve">Die GmbH hat inzwischen drei der zwölf Öfen an die Gastronomin </w:t>
      </w:r>
      <w:r>
        <w:rPr>
          <w:b/>
        </w:rPr>
        <w:t>Gabi Schlotterhose</w:t>
      </w:r>
      <w:r>
        <w:t xml:space="preserve"> (Leipzig-Reudnitz) für 18.000 EUR weiterveräußert und übereignet.</w:t>
      </w:r>
    </w:p>
    <w:p>
      <w:pPr>
        <w:jc w:val="left"/>
      </w:pPr>
      <w:r>
        <w:t>Convotherm hat vor dem LG Leipzig (Vorinstanz, 4 O 99/25) auf Herausgabe der drei Öfen und Zahlung der ausstehenden Rate geklagt. Das LG hat der Klage stattgegeben; die GmbH hat Berufung beim OLG Dresden eingelegt (12 U 22/26).</w:t>
      </w:r>
    </w:p>
    <w:p/>
    <w:p>
      <w:pPr>
        <w:pStyle w:val="Heading2"/>
      </w:pPr>
      <w:r>
        <w:rPr>
          <w:rFonts w:ascii="Times New Roman" w:hAnsi="Times New Roman"/>
        </w:rPr>
        <w:t>II. Eigentumsrechtliche Analyse</w:t>
      </w:r>
    </w:p>
    <w:p>
      <w:pPr>
        <w:pStyle w:val="Heading3"/>
      </w:pPr>
      <w:r>
        <w:rPr>
          <w:rFonts w:ascii="Times New Roman" w:hAnsi="Times New Roman"/>
        </w:rPr>
        <w:t>A. Eigentumsvorbehalt und schwebende Unwirksamkeit der Übereignung</w:t>
      </w:r>
    </w:p>
    <w:p>
      <w:pPr>
        <w:jc w:val="left"/>
      </w:pPr>
      <w:r>
        <w:rPr>
          <w:b/>
        </w:rPr>
        <w:t>§ 449 Abs. 1 BGB:</w:t>
      </w:r>
      <w:r>
        <w:t xml:space="preserve"> Wenn sich der Verkäufer einer beweglichen Sache das Eigentum bis zur Zahlung des Kaufpreises vorbehalten hat, ist im Zweifel anzunehmen, dass das Eigentum unter der aufschiebenden Bedingung vollständiger Zahlung übertragen wird.</w:t>
      </w:r>
    </w:p>
    <w:p>
      <w:pPr>
        <w:jc w:val="left"/>
      </w:pPr>
      <w:r>
        <w:rPr>
          <w:b/>
        </w:rPr>
        <w:t>Rechtslage Übereignung GmbH → Convotherm (nie vollzogen):</w:t>
      </w:r>
    </w:p>
    <w:p>
      <w:pPr>
        <w:jc w:val="left"/>
      </w:pPr>
      <w:r>
        <w:t xml:space="preserve">Da die letzte Rate noch offen ist, ist die </w:t>
      </w:r>
      <w:r>
        <w:rPr>
          <w:b/>
        </w:rPr>
        <w:t>aufschiebende Bedingung</w:t>
      </w:r>
      <w:r>
        <w:t xml:space="preserve"> (vollständige Zahlung) noch nicht eingetreten. Das Eigentum liegt noch bei </w:t>
      </w:r>
      <w:r>
        <w:rPr>
          <w:b/>
        </w:rPr>
        <w:t>Convotherm</w:t>
      </w:r>
      <w:r>
        <w:t>.</w:t>
      </w:r>
    </w:p>
    <w:p>
      <w:pPr>
        <w:jc w:val="left"/>
      </w:pPr>
      <w:r>
        <w:rPr>
          <w:b/>
        </w:rPr>
        <w:t>§ 184 BGB — Rückwirkung der Genehmigung:</w:t>
      </w:r>
    </w:p>
    <w:p>
      <w:pPr>
        <w:jc w:val="left"/>
      </w:pPr>
      <w:r>
        <w:t>§ 184 Abs. 1 BGB regelt, dass die nachträgliche Genehmigung eines Rechtsgeschäfts auf den Zeitpunkt der Vornahme zurückwirkt. Dies ist bei der bedingten Eigentumsübertragung nicht direkt anwendbar, da es sich um eine Bedingung, nicht um eine Genehmigung handelt. § 184 BGB kommt hier in der Prüfungsstruktur zum Tragen, wenn ein Dritter ein genehmigungsbedürftiges Verfügungsgeschäft vorgenommen hat — z.B. Lübbers-Container-Vertrag.</w:t>
      </w:r>
    </w:p>
    <w:p>
      <w:pPr>
        <w:jc w:val="left"/>
      </w:pPr>
      <w:r>
        <w:t>Für die Öfen gilt: Die Übereignung an die GmbH steht unter aufschiebender Bedingung (§§ 929, 158 Abs. 1 BGB). Mit Zahlung der letzten Rate würde das Eigentum automatisch und rückwirkend zum Zeitpunkt der Übergabe übergehen — das ist die faktische Ähnlichkeit zu § 184 BGB im Sinne der Klausurprüfung (schwebende Unwirksamkeit durch Bedingung).</w:t>
      </w:r>
    </w:p>
    <w:p>
      <w:pPr>
        <w:pStyle w:val="Heading3"/>
      </w:pPr>
      <w:r>
        <w:rPr>
          <w:rFonts w:ascii="Times New Roman" w:hAnsi="Times New Roman"/>
        </w:rPr>
        <w:t>B. Weitervräußerung der drei Öfen — § 932 BGB gutgläubiger Erwerb</w:t>
      </w:r>
    </w:p>
    <w:p>
      <w:pPr>
        <w:jc w:val="left"/>
      </w:pPr>
      <w:r>
        <w:rPr>
          <w:b/>
        </w:rPr>
        <w:t>Problem:</w:t>
      </w:r>
      <w:r>
        <w:t xml:space="preserve"> Die GmbH hat drei Öfen an Schlotterhose übereignet, ohne Eigentümerin zu sein (Convotherm war noch Eigentümer). Grundsatz: </w:t>
      </w:r>
      <w:r>
        <w:rPr>
          <w:b/>
        </w:rPr>
        <w:t>Nemo plus iuris transferre potest quam ipse habet</w:t>
      </w:r>
      <w:r>
        <w:t xml:space="preserve"> — niemand kann mehr Rechte übertragen als er selbst hat.</w:t>
      </w:r>
    </w:p>
    <w:p>
      <w:pPr>
        <w:jc w:val="left"/>
      </w:pPr>
      <w:r>
        <w:rPr>
          <w:b/>
        </w:rPr>
        <w:t>Ausnahme § 932 BGB — Gutgläubiger Erwerb vom Nichtberechtigten:</w:t>
      </w:r>
    </w:p>
    <w:p>
      <w:pPr>
        <w:jc w:val="left"/>
      </w:pPr>
      <w:r>
        <w:t>„(1) Durch eine nach § 929 vorgenommene Veräußerung wird der Erwerber auch dann Eigentümer, wenn die Sache nicht dem Veräußerer gehört, es sei denn, dass er zu der Zeit, zu der er nach diesen Vorschriften das Eigentum erwerben würde, nicht in gutem Glauben ist. (2) Der Erwerber ist nicht in gutem Glauben, wenn ihm bekannt oder infolge grober Fahrlässigkeit unbekannt ist, dass die Sache nicht dem Veräußerer gehört."</w:t>
      </w:r>
    </w:p>
    <w:p>
      <w:pPr>
        <w:jc w:val="left"/>
      </w:pPr>
      <w:r>
        <w:rPr>
          <w:b/>
        </w:rPr>
        <w:t>Prüfungsschema § 932 BGB:</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Subsumtion</w:t>
            </w:r>
          </w:p>
        </w:tc>
      </w:tr>
      <w:tr>
        <w:tc>
          <w:tcPr>
            <w:tcW w:type="dxa" w:w="4536"/>
          </w:tcPr>
          <w:p>
            <w:r>
              <w:rPr>
                <w:rFonts w:ascii="Times New Roman" w:hAnsi="Times New Roman"/>
                <w:sz w:val="20"/>
              </w:rPr>
              <w:t>Einigung und Übergabe § 929 BGB</w:t>
            </w:r>
          </w:p>
        </w:tc>
        <w:tc>
          <w:tcPr>
            <w:tcW w:type="dxa" w:w="4536"/>
          </w:tcPr>
          <w:p>
            <w:r>
              <w:rPr>
                <w:rFonts w:ascii="Times New Roman" w:hAnsi="Times New Roman"/>
                <w:sz w:val="20"/>
              </w:rPr>
              <w:t>(+) — GmbH und Schlotterhose haben Einigung erzielt, Öfen wurden übergeben</w:t>
            </w:r>
          </w:p>
        </w:tc>
      </w:tr>
      <w:tr>
        <w:tc>
          <w:tcPr>
            <w:tcW w:type="dxa" w:w="4536"/>
          </w:tcPr>
          <w:p>
            <w:r>
              <w:rPr>
                <w:rFonts w:ascii="Times New Roman" w:hAnsi="Times New Roman"/>
                <w:sz w:val="20"/>
              </w:rPr>
              <w:t>Berechtigung des Veräußerers</w:t>
            </w:r>
          </w:p>
        </w:tc>
        <w:tc>
          <w:tcPr>
            <w:tcW w:type="dxa" w:w="4536"/>
          </w:tcPr>
          <w:p>
            <w:r>
              <w:rPr>
                <w:rFonts w:ascii="Times New Roman" w:hAnsi="Times New Roman"/>
                <w:sz w:val="20"/>
              </w:rPr>
              <w:t>(–) — GmbH war nicht Eigentümerin; Convotherm noch Eigentümerin</w:t>
            </w:r>
          </w:p>
        </w:tc>
      </w:tr>
      <w:tr>
        <w:tc>
          <w:tcPr>
            <w:tcW w:type="dxa" w:w="4536"/>
          </w:tcPr>
          <w:p>
            <w:r>
              <w:rPr>
                <w:rFonts w:ascii="Times New Roman" w:hAnsi="Times New Roman"/>
                <w:sz w:val="20"/>
              </w:rPr>
              <w:t>Guter Glaube des Erwerbers Schlotterhose</w:t>
            </w:r>
          </w:p>
        </w:tc>
        <w:tc>
          <w:tcPr>
            <w:tcW w:type="dxa" w:w="4536"/>
          </w:tcPr>
          <w:p>
            <w:r>
              <w:rPr>
                <w:rFonts w:ascii="Times New Roman" w:hAnsi="Times New Roman"/>
                <w:sz w:val="20"/>
              </w:rPr>
              <w:t>Zu prüfen</w:t>
            </w:r>
          </w:p>
        </w:tc>
      </w:tr>
    </w:tbl>
    <w:p>
      <w:pPr>
        <w:jc w:val="left"/>
      </w:pPr>
      <w:r>
        <w:rPr>
          <w:b/>
        </w:rPr>
        <w:t>Guter Glaube Schlotterhose:</w:t>
      </w:r>
    </w:p>
    <w:p>
      <w:pPr>
        <w:jc w:val="left"/>
      </w:pPr>
      <w:r>
        <w:t>Schlotterhose ist Gastronomin; sie erwarb die drei Öfen ohne Kenntnis des Eigentumsvorbehalts von Convotherm. Der Eigentumsvorbehalt war nicht im Handelsregister eingetragen (Handelsregister beurkundete keinen Eigentumsvorbehalt) — Schlotterhose hatte keine Möglichkeit, von ihm Kenntnis zu erlangen. Die Öfen befanden sich im Besitz der GmbH (als Besitzmittlerin für Convotherm, aber faktisch in ihrer Gewalt). Schlotterhose hatte keinen Anlass, Eigentumsvorbehaltsuntersuchungen anzustellen.</w:t>
      </w:r>
    </w:p>
    <w:p>
      <w:pPr>
        <w:jc w:val="left"/>
      </w:pPr>
      <w:r>
        <w:rPr>
          <w:b/>
        </w:rPr>
        <w:t>Grobe Fahrlässigkeit?</w:t>
      </w:r>
      <w:r>
        <w:t xml:space="preserve"> (§ 932 Abs. 2 BGB): Grobe Fahrlässigkeit erfordert ein Mindestmaß an Verdacht oder ungewöhnlicher Auffälligkeit (BGH NJW 2003, 3271). Bei gewerblichem Erwerb gebrauchter Küchengeräte von einer etablierten Gastronomie-GmbH liegt keine grobe Fahrlässigkeit vor, soweit keine „red flags" erkennbar sind.</w:t>
      </w:r>
    </w:p>
    <w:p>
      <w:pPr>
        <w:jc w:val="left"/>
      </w:pPr>
      <w:r>
        <w:rPr>
          <w:b/>
        </w:rPr>
        <w:t>Ergebnis § 932 BGB:</w:t>
      </w:r>
      <w:r>
        <w:t xml:space="preserve"> Schlotterhose hat das Eigentum an den drei Öfen gutgläubig erworben. Convotherm verliert ihr Eigentum an diesen drei Öfen. Ihr verbleibt nur der Schadensersatzanspruch gegen die GmbH.</w:t>
      </w:r>
    </w:p>
    <w:p>
      <w:pPr>
        <w:pStyle w:val="Heading3"/>
      </w:pPr>
      <w:r>
        <w:rPr>
          <w:rFonts w:ascii="Times New Roman" w:hAnsi="Times New Roman"/>
        </w:rPr>
        <w:t>C. Verlängerter Eigentumsvorbehalt (AGB-Klausel Convotherm)</w:t>
      </w:r>
    </w:p>
    <w:p>
      <w:pPr>
        <w:jc w:val="left"/>
      </w:pPr>
      <w:r>
        <w:t xml:space="preserve">Convotherm beruft sich auf eine Klausel im Liefervertrag, die einen </w:t>
      </w:r>
      <w:r>
        <w:rPr>
          <w:b/>
        </w:rPr>
        <w:t>verlängerten Eigentumsvorbehalt</w:t>
      </w:r>
      <w:r>
        <w:t xml:space="preserve"> konstituiert (Vorausabtretungsklausel): Alle Forderungen aus dem Weiterverkauf der Öfen werden an Convotherm abgetreten. Die AGB-Kontrolle dieser Klausel (§ 305c BGB) ist in Aktenstück 09 zu prüfen.</w:t>
      </w:r>
    </w:p>
    <w:p/>
    <w:p>
      <w:pPr>
        <w:pStyle w:val="Heading2"/>
      </w:pPr>
      <w:r>
        <w:rPr>
          <w:rFonts w:ascii="Times New Roman" w:hAnsi="Times New Roman"/>
        </w:rPr>
        <w:t>III. Gesamtergebnis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Eigentum GmbH an Öfen?</w:t>
            </w:r>
          </w:p>
        </w:tc>
        <w:tc>
          <w:tcPr>
            <w:tcW w:type="dxa" w:w="4536"/>
          </w:tcPr>
          <w:p>
            <w:r>
              <w:rPr>
                <w:rFonts w:ascii="Times New Roman" w:hAnsi="Times New Roman"/>
                <w:sz w:val="20"/>
              </w:rPr>
              <w:t>Nein — Eigentumsvorbehalt Convotherm; aufschiebende Bedingung nicht erfüllt</w:t>
            </w:r>
          </w:p>
        </w:tc>
      </w:tr>
      <w:tr>
        <w:tc>
          <w:tcPr>
            <w:tcW w:type="dxa" w:w="4536"/>
          </w:tcPr>
          <w:p>
            <w:r>
              <w:rPr>
                <w:rFonts w:ascii="Times New Roman" w:hAnsi="Times New Roman"/>
                <w:sz w:val="20"/>
              </w:rPr>
              <w:t>Schwebende Unwirksamkeit der Übereignung?</w:t>
            </w:r>
          </w:p>
        </w:tc>
        <w:tc>
          <w:tcPr>
            <w:tcW w:type="dxa" w:w="4536"/>
          </w:tcPr>
          <w:p>
            <w:r>
              <w:rPr>
                <w:rFonts w:ascii="Times New Roman" w:hAnsi="Times New Roman"/>
                <w:sz w:val="20"/>
              </w:rPr>
              <w:t>Ja — bis zur vollständigen Zahlung</w:t>
            </w:r>
          </w:p>
        </w:tc>
      </w:tr>
      <w:tr>
        <w:tc>
          <w:tcPr>
            <w:tcW w:type="dxa" w:w="4536"/>
          </w:tcPr>
          <w:p>
            <w:r>
              <w:rPr>
                <w:rFonts w:ascii="Times New Roman" w:hAnsi="Times New Roman"/>
                <w:sz w:val="20"/>
              </w:rPr>
              <w:t>Schlotterhose Eigentümer (§ 932 BGB)?</w:t>
            </w:r>
          </w:p>
        </w:tc>
        <w:tc>
          <w:tcPr>
            <w:tcW w:type="dxa" w:w="4536"/>
          </w:tcPr>
          <w:p>
            <w:r>
              <w:rPr>
                <w:rFonts w:ascii="Times New Roman" w:hAnsi="Times New Roman"/>
                <w:sz w:val="20"/>
              </w:rPr>
              <w:t>Ja — gutgläubiger Erwerb (+)</w:t>
            </w:r>
          </w:p>
        </w:tc>
      </w:tr>
      <w:tr>
        <w:tc>
          <w:tcPr>
            <w:tcW w:type="dxa" w:w="4536"/>
          </w:tcPr>
          <w:p>
            <w:r>
              <w:rPr>
                <w:rFonts w:ascii="Times New Roman" w:hAnsi="Times New Roman"/>
                <w:sz w:val="20"/>
              </w:rPr>
              <w:t>Herausgabeanspruch Convotherm gegen Schlotterhose?</w:t>
            </w:r>
          </w:p>
        </w:tc>
        <w:tc>
          <w:tcPr>
            <w:tcW w:type="dxa" w:w="4536"/>
          </w:tcPr>
          <w:p>
            <w:r>
              <w:rPr>
                <w:rFonts w:ascii="Times New Roman" w:hAnsi="Times New Roman"/>
                <w:sz w:val="20"/>
              </w:rPr>
              <w:t>Nein — gutgläubiger Erwerb sperrt §§ 985, 986 BGB</w:t>
            </w:r>
          </w:p>
        </w:tc>
      </w:tr>
      <w:tr>
        <w:tc>
          <w:tcPr>
            <w:tcW w:type="dxa" w:w="4536"/>
          </w:tcPr>
          <w:p>
            <w:r>
              <w:rPr>
                <w:rFonts w:ascii="Times New Roman" w:hAnsi="Times New Roman"/>
                <w:sz w:val="20"/>
              </w:rPr>
              <w:t>Schadensersatzanspruch Convotherm gegen GmbH?</w:t>
            </w:r>
          </w:p>
        </w:tc>
        <w:tc>
          <w:tcPr>
            <w:tcW w:type="dxa" w:w="4536"/>
          </w:tcPr>
          <w:p>
            <w:r>
              <w:rPr>
                <w:rFonts w:ascii="Times New Roman" w:hAnsi="Times New Roman"/>
                <w:sz w:val="20"/>
              </w:rPr>
              <w:t>Ja — Höhe: Marktwert der 3 Öfen (ca. 45.000 EUR), §§ 280, 823 Abs. 1 BGB</w:t>
            </w:r>
          </w:p>
        </w:tc>
      </w:tr>
    </w:tbl>
    <w:p>
      <w:pPr>
        <w:jc w:val="left"/>
      </w:pPr>
      <w:r>
        <w:rPr>
          <w:b/>
        </w:rPr>
        <w:t>Empfehlung Berufung OLG Dresden:</w:t>
      </w:r>
      <w:r>
        <w:t xml:space="preserve"> Gutgläubigen Erwerb durch Schlotterhose (§ 932 BGB) als Kernargument führen. Herausgabeanspruch Convotherm gegen Schlotterhose ist ausgeschlossen. Gegen GmbH bleibt Schadensersatzforderung bestehen — Vergleich prüfen.</w:t>
      </w:r>
    </w:p>
    <w:p>
      <w:pPr>
        <w:jc w:val="left"/>
      </w:pPr>
      <w:r>
        <w:rPr>
          <w:b/>
        </w:rPr>
        <w:t>Quellen:</w:t>
      </w:r>
    </w:p>
    <w:p>
      <w:pPr>
        <w:jc w:val="left"/>
      </w:pPr>
      <w:r>
        <w:t>§§ 158, 449, 929, 932 BGB: https://dejure.org/gesetze/BGB/932.html</w:t>
      </w:r>
    </w:p>
    <w:p>
      <w:pPr>
        <w:jc w:val="left"/>
      </w:pPr>
      <w:r>
        <w:t>§ 184 BGB: https://dejure.org/gesetze/BGB/184.html</w:t>
      </w:r>
    </w:p>
    <w:p>
      <w:pPr>
        <w:jc w:val="left"/>
      </w:pPr>
      <w:r>
        <w:t>BGH NJW 2003, 3271 (grobe Fahrlässigkeit § 932 Abs. 2 BGB): https://www.bundesgerichtshof.de</w:t>
      </w:r>
    </w:p>
    <w:p>
      <w:pPr>
        <w:jc w:val="left"/>
      </w:pPr>
      <w:r>
        <w:t>BGH NJW 1958, 1133 (verlängerter Eigentumsvorbehalt): https://openjur.de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Die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Die GmbH</w:t>
    </w:r>
  </w:p>
  <w:p>
    <w:pPr>
      <w:jc w:val="left"/>
      <w:pBdr>
        <w:bottom w:val="single" w:sz="6" w:space="2" w:color="11555F"/>
      </w:pBdr>
    </w:pPr>
    <w:r>
      <w:rPr>
        <w:rFonts w:ascii="Times New Roman" w:hAnsi="Times New Roman"/>
        <w:color w:val="6B6B66"/>
        <w:sz w:val="16"/>
      </w:rPr>
      <w:t>Unternehmen · 12 U 22/26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