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Zugang von Willenserklärungen — § 130 BGB: Anfechtungserklärung und Genehmigungsverweigerung</w:t>
      </w:r>
    </w:p>
    <w:p>
      <w:pPr>
        <w:jc w:val="left"/>
      </w:pPr>
      <w:r>
        <w:rPr>
          <w:b/>
        </w:rPr>
        <w:t>Bearbeiter:</w:t>
      </w:r>
      <w:r>
        <w:t xml:space="preserve"> RA Dr. Heinrich Schweizer-Loberg</w:t>
      </w:r>
    </w:p>
    <w:p>
      <w:pPr>
        <w:jc w:val="left"/>
      </w:pPr>
      <w:r>
        <w:rPr>
          <w:b/>
        </w:rPr>
        <w:t>Datum:</w:t>
      </w:r>
      <w:r>
        <w:t xml:space="preserve"> 28. April 2026</w:t>
      </w:r>
    </w:p>
    <w:p>
      <w:pPr>
        <w:jc w:val="left"/>
      </w:pPr>
      <w:r>
        <w:rPr>
          <w:b/>
        </w:rPr>
        <w:t>Bezug:</w:t>
      </w:r>
      <w:r>
        <w:t xml:space="preserve"> Zugang Anfechtungserklärung bei Ratschke; Zugang Genehmigungsverweigerung bei Meißen GmbH</w:t>
      </w:r>
    </w:p>
    <w:p/>
    <w:p>
      <w:pPr>
        <w:pStyle w:val="Heading2"/>
      </w:pPr>
      <w:r>
        <w:rPr>
          <w:rFonts w:ascii="Times New Roman" w:hAnsi="Times New Roman"/>
        </w:rPr>
        <w:t>I. Grundlagen § 130 BGB</w:t>
      </w:r>
    </w:p>
    <w:p>
      <w:pPr>
        <w:pStyle w:val="Heading3"/>
      </w:pPr>
      <w:r>
        <w:rPr>
          <w:rFonts w:ascii="Times New Roman" w:hAnsi="Times New Roman"/>
        </w:rPr>
        <w:t>§ 130 Abs. 1 BGB</w:t>
      </w:r>
    </w:p>
    <w:p>
      <w:pPr>
        <w:jc w:val="left"/>
      </w:pPr>
      <w:r>
        <w:t>„Eine Willenserklärung, die einem anderen gegenüber abzugeben ist, wird, wenn sie in dessen Abwesenheit abgegeben wird, in dem Zeitpunkt wirksam, in welchem sie ihm zugeht. Sie wird nicht wirksam, wenn dem anderen vorher oder gleichzeitig ein Widerruf zugeht."</w:t>
      </w:r>
    </w:p>
    <w:p>
      <w:pPr>
        <w:pStyle w:val="Heading3"/>
      </w:pPr>
      <w:r>
        <w:rPr>
          <w:rFonts w:ascii="Times New Roman" w:hAnsi="Times New Roman"/>
        </w:rPr>
        <w:t>Zugangsdefinition (h.M.)</w:t>
      </w:r>
    </w:p>
    <w:p>
      <w:pPr>
        <w:jc w:val="left"/>
      </w:pPr>
      <w:r>
        <w:t xml:space="preserve">Eine Willenserklärung geht zu, wenn sie so in den </w:t>
      </w:r>
      <w:r>
        <w:rPr>
          <w:b/>
        </w:rPr>
        <w:t>Machtbereich</w:t>
      </w:r>
      <w:r>
        <w:t xml:space="preserve"> des Empfängers gelangt, dass dieser unter normalen Umständen von ihr Kenntnis nehmen kann und es ihm zuzumuten ist, von ihr Kenntnis zu nehmen (BGH NJW 2004, 1320; BGH NJW 1988, 2109).</w:t>
      </w:r>
    </w:p>
    <w:p>
      <w:pPr>
        <w:jc w:val="left"/>
      </w:pPr>
      <w:r>
        <w:rPr>
          <w:b/>
        </w:rPr>
        <w:t>Kernaussage:</w:t>
      </w:r>
      <w:r>
        <w:t xml:space="preserve"> Es kommt auf die tatsächliche Kenntnisnahme </w:t>
      </w:r>
      <w:r>
        <w:rPr>
          <w:b/>
        </w:rPr>
        <w:t>nicht</w:t>
      </w:r>
      <w:r>
        <w:t xml:space="preserve"> an — nur auf die Möglichkeit der Kenntnisnahme.</w:t>
      </w:r>
    </w:p>
    <w:p/>
    <w:p>
      <w:pPr>
        <w:pStyle w:val="Heading2"/>
      </w:pPr>
      <w:r>
        <w:rPr>
          <w:rFonts w:ascii="Times New Roman" w:hAnsi="Times New Roman"/>
        </w:rPr>
        <w:t>II. Zugangsarten und -zeitpunkte</w:t>
      </w:r>
    </w:p>
    <w:p>
      <w:pPr>
        <w:pStyle w:val="Heading3"/>
      </w:pPr>
      <w:r>
        <w:rPr>
          <w:rFonts w:ascii="Times New Roman" w:hAnsi="Times New Roman"/>
        </w:rPr>
        <w:t>A. Briefpost (Standardbrief)</w:t>
      </w:r>
    </w:p>
    <w:p>
      <w:pPr>
        <w:jc w:val="left"/>
      </w:pPr>
      <w:r>
        <w:rPr>
          <w:b/>
        </w:rPr>
        <w:t>Einwurf in Briefkasten:</w:t>
      </w:r>
      <w:r>
        <w:t xml:space="preserve"> Zugang mit Einwurf in den Briefkasten des Empfängers, wenn dies zu normaler Postzustellzeit erfolgt (BGH NJW 2004, 1320).</w:t>
      </w:r>
    </w:p>
    <w:p>
      <w:pPr>
        <w:pStyle w:val="ListBullet"/>
      </w:pPr>
      <w:r>
        <w:t>Einwurf morgens bis ca. 17:00 Uhr → Zugang am selben Tag</w:t>
      </w:r>
    </w:p>
    <w:p>
      <w:pPr>
        <w:pStyle w:val="ListBullet"/>
      </w:pPr>
      <w:r>
        <w:t>Einwurf nach 17:00 Uhr → Zugang am nächsten Werktag (da Kenntnisnahme an diesem Tag zu erwarten)</w:t>
      </w:r>
    </w:p>
    <w:p>
      <w:pPr>
        <w:pStyle w:val="ListBullet"/>
      </w:pPr>
      <w:r>
        <w:t>Einwurf Samstag → Zugang Montag (kein Abrufen am Wochenende typisch für Geschäftspost)</w:t>
      </w:r>
    </w:p>
    <w:p>
      <w:pPr>
        <w:jc w:val="left"/>
      </w:pPr>
      <w:r>
        <w:rPr>
          <w:b/>
        </w:rPr>
        <w:t>Einschreiben/Rückschein:</w:t>
      </w:r>
      <w:r>
        <w:t xml:space="preserve"> Zugang bei Unterzeichnung des Rückscheins durch den Empfänger; bei Abwesenheit Benachrichtigung → Zugang mit Abholung oder Hinterlegungsfrist.</w:t>
      </w:r>
    </w:p>
    <w:p>
      <w:pPr>
        <w:jc w:val="left"/>
      </w:pPr>
      <w:r>
        <w:rPr>
          <w:b/>
        </w:rPr>
        <w:t>Im konkreten Fall:</w:t>
      </w:r>
    </w:p>
    <w:p>
      <w:pPr>
        <w:pStyle w:val="ListBullet"/>
      </w:pPr>
      <w:r>
        <w:t>Anfechtungserklärung versandt 17.03.2026 (Einschreiben/Rückschein)</w:t>
      </w:r>
    </w:p>
    <w:p>
      <w:pPr>
        <w:pStyle w:val="ListBullet"/>
      </w:pPr>
      <w:r>
        <w:t>Rückschein durch Ratschke unterzeichnet: 20.03.2026 (Freitag)</w:t>
      </w:r>
    </w:p>
    <w:p>
      <w:pPr>
        <w:pStyle w:val="ListBullet"/>
      </w:pPr>
      <w:r>
        <w:rPr>
          <w:b/>
        </w:rPr>
        <w:t>Zugang: 20.03.2026</w:t>
      </w:r>
      <w:r>
        <w:t xml:space="preserve"> (eindeutig, da Rückschein-Beweis)</w:t>
      </w:r>
    </w:p>
    <w:p>
      <w:pPr>
        <w:pStyle w:val="Heading3"/>
      </w:pPr>
      <w:r>
        <w:rPr>
          <w:rFonts w:ascii="Times New Roman" w:hAnsi="Times New Roman"/>
        </w:rPr>
        <w:t>B. Telefax</w:t>
      </w:r>
    </w:p>
    <w:p>
      <w:pPr>
        <w:jc w:val="left"/>
      </w:pPr>
      <w:r>
        <w:t>Zugang, wenn Sendebericht den vollständigen Empfang bestätigt. Beim Empfänger-Gerät muss das Fax vollständig ausgedruckt oder gespeichert sein. Außerhalb der Bürozeiten: Zugang am nächsten Arbeitstag (BGH NJW 1995, 665).</w:t>
      </w:r>
    </w:p>
    <w:p>
      <w:pPr>
        <w:pStyle w:val="Heading3"/>
      </w:pPr>
      <w:r>
        <w:rPr>
          <w:rFonts w:ascii="Times New Roman" w:hAnsi="Times New Roman"/>
        </w:rPr>
        <w:t>C. E-Mail</w:t>
      </w:r>
    </w:p>
    <w:p>
      <w:pPr>
        <w:jc w:val="left"/>
      </w:pPr>
      <w:r>
        <w:t>Umstrittener Zugangszeitpunkt:</w:t>
      </w:r>
    </w:p>
    <w:p>
      <w:pPr>
        <w:pStyle w:val="ListBullet"/>
      </w:pPr>
      <w:r>
        <w:rPr>
          <w:b/>
        </w:rPr>
        <w:t>h.M. / BGH NJW 2019, 607:</w:t>
      </w:r>
      <w:r>
        <w:t xml:space="preserve"> E-Mail geht zu, wenn sie im Empfänger-Postfach abrufbar ist (Provider-Server des Empfängers), falls dieser das Postfach für rechtsgeschäftlichen Verkehr freigegeben hat.</w:t>
      </w:r>
    </w:p>
    <w:p>
      <w:pPr>
        <w:pStyle w:val="ListBullet"/>
      </w:pPr>
      <w:r>
        <w:t>Außerhalb der üblichen Geschäftszeiten zugegangene E-Mails: Zugang am folgenden Werktag.</w:t>
      </w:r>
    </w:p>
    <w:p>
      <w:pPr>
        <w:pStyle w:val="Heading3"/>
      </w:pPr>
      <w:r>
        <w:rPr>
          <w:rFonts w:ascii="Times New Roman" w:hAnsi="Times New Roman"/>
        </w:rPr>
        <w:t>D. Empfang durch Dritte / Boten</w:t>
      </w:r>
    </w:p>
    <w:p>
      <w:pPr>
        <w:jc w:val="left"/>
      </w:pPr>
      <w:r>
        <w:t>Aushändigung an Empfangsboten (z.B. Sekretärin, Haushaltshilfe) → Zugang, wenn der Bote zur Entgegennahme befugt ist oder nach Verkehrssitte befugt erscheint. Familienmitglieder gelten grds. als Empfangsboten (BGH NJW 1988, 2109).</w:t>
      </w:r>
    </w:p>
    <w:p/>
    <w:p>
      <w:pPr>
        <w:pStyle w:val="Heading2"/>
      </w:pPr>
      <w:r>
        <w:rPr>
          <w:rFonts w:ascii="Times New Roman" w:hAnsi="Times New Roman"/>
        </w:rPr>
        <w:t>III. Besonderheiten bei Empfangsbedürftigen Erklärungen im Fall</w:t>
      </w:r>
    </w:p>
    <w:p>
      <w:pPr>
        <w:pStyle w:val="Heading3"/>
      </w:pPr>
      <w:r>
        <w:rPr>
          <w:rFonts w:ascii="Times New Roman" w:hAnsi="Times New Roman"/>
        </w:rPr>
        <w:t>Anfechtungserklärung an Ratschke (20.03.2026)</w:t>
      </w:r>
    </w:p>
    <w:p>
      <w:pPr>
        <w:pStyle w:val="ListBullet"/>
      </w:pPr>
      <w:r>
        <w:t>Empfangsbedürftige Willenserklärung — Zugang erforderlich (§ 130 Abs. 1 BGB).</w:t>
      </w:r>
    </w:p>
    <w:p>
      <w:pPr>
        <w:pStyle w:val="ListBullet"/>
      </w:pPr>
      <w:r>
        <w:t>Rückschein belegt Zugang am 20.03.2026 — kein Zugangsstreit.</w:t>
      </w:r>
    </w:p>
    <w:p>
      <w:pPr>
        <w:pStyle w:val="ListBullet"/>
      </w:pPr>
      <w:r>
        <w:t>Relevanz für § 121 BGB-Frist: Maßgeblich ist Zugang beim Anfechtungsgegner, nicht Absendung.</w:t>
      </w:r>
    </w:p>
    <w:p>
      <w:pPr>
        <w:pStyle w:val="Heading3"/>
      </w:pPr>
      <w:r>
        <w:rPr>
          <w:rFonts w:ascii="Times New Roman" w:hAnsi="Times New Roman"/>
        </w:rPr>
        <w:t>Genehmigungsverweigerung an Meißen GmbH (25.03.2026)</w:t>
      </w:r>
    </w:p>
    <w:p>
      <w:pPr>
        <w:jc w:val="left"/>
      </w:pPr>
      <w:r>
        <w:t>Die Erklärung der GmbH, die Genehmigung gemäß § 177 Abs. 1 BGB zu verweigern, ist ebenfalls empfangsbedürftig. Sie wurde als Telefax und per Einschreiben am 25.03.2026 versandt.</w:t>
      </w:r>
    </w:p>
    <w:p>
      <w:pPr>
        <w:pStyle w:val="ListBullet"/>
      </w:pPr>
      <w:r>
        <w:t>Fax-Sendebericht: Vollständige Übertragung 25.03.2026 10:14 Uhr (Werktag, Bürozeiten)</w:t>
      </w:r>
    </w:p>
    <w:p>
      <w:pPr>
        <w:pStyle w:val="ListBullet"/>
      </w:pPr>
      <w:r>
        <w:rPr>
          <w:b/>
        </w:rPr>
        <w:t>Zugang Fax:</w:t>
      </w:r>
      <w:r>
        <w:t xml:space="preserve"> 25.03.2026 — mit dem Sendebericht beweisbar.</w:t>
      </w:r>
    </w:p>
    <w:p>
      <w:pPr>
        <w:pStyle w:val="Heading3"/>
      </w:pPr>
      <w:r>
        <w:rPr>
          <w:rFonts w:ascii="Times New Roman" w:hAnsi="Times New Roman"/>
        </w:rPr>
        <w:t>Aufforderung Meißen GmbH gemäß § 177 Abs. 2 BGB (Fristsetzung)</w:t>
      </w:r>
    </w:p>
    <w:p>
      <w:pPr>
        <w:jc w:val="left"/>
      </w:pPr>
      <w:r>
        <w:t>Meißen GmbH hat die GmbH mit Schreiben vom 15.03.2026 aufgefordert, innerhalb von zwei Wochen die Genehmigung zu erklären (§ 177 Abs. 2 BGB). Fristende: 29.03.2026. Genehmigungsverweigerung eingegangen am 25.03.2026 — innerhalb der Frist.</w:t>
      </w:r>
    </w:p>
    <w:p/>
    <w:p>
      <w:pPr>
        <w:pStyle w:val="Heading2"/>
      </w:pPr>
      <w:r>
        <w:rPr>
          <w:rFonts w:ascii="Times New Roman" w:hAnsi="Times New Roman"/>
        </w:rPr>
        <w:t>IV. Widerruf der Willenserklärung (§ 130 Abs. 1 S. 2 BGB)</w:t>
      </w:r>
    </w:p>
    <w:p>
      <w:pPr>
        <w:jc w:val="left"/>
      </w:pPr>
      <w:r>
        <w:t>Die Willenserklärung kann widerrufen werden, wenn der Widerruf gleichzeitig oder vor der Erklärung zugeht. Nach Zugang ist der Widerruf nicht mehr möglich — die Erklärung ist wirksam.</w:t>
      </w:r>
    </w:p>
    <w:p>
      <w:pPr>
        <w:jc w:val="left"/>
      </w:pPr>
      <w:r>
        <w:rPr>
          <w:b/>
        </w:rPr>
        <w:t>Anwendung:</w:t>
      </w:r>
      <w:r>
        <w:t xml:space="preserve"> Hätte P die Anfechtungserklärung am 17.03.2026 verschickt und am 18.03.2026 einen Widerruf senden wollen, müsste der Widerruf vor oder gleichzeitig mit der Anfechtungserklärung bei Ratschke eingehen. Nach Zugang am 20.03.2026 ist kein Widerruf mehr möglich. P ist an ihre Anfechtungserklärung gebunden — kein Zurück.</w:t>
      </w:r>
    </w:p>
    <w:p/>
    <w:p>
      <w:pPr>
        <w:pStyle w:val="Heading2"/>
      </w:pPr>
      <w:r>
        <w:rPr>
          <w:rFonts w:ascii="Times New Roman" w:hAnsi="Times New Roman"/>
        </w:rPr>
        <w:t>V. Zugangsvereitelung</w:t>
      </w:r>
    </w:p>
    <w:p>
      <w:pPr>
        <w:jc w:val="left"/>
      </w:pPr>
      <w:r>
        <w:rPr>
          <w:b/>
        </w:rPr>
        <w:t>§ 130 BGB analog:</w:t>
      </w:r>
      <w:r>
        <w:t xml:space="preserve"> Wer den Zugang einer Willenserklärung böswillig oder treuwidrig verhindert, muss sich so behandeln lassen, als sei die Erklärung zugegangen (Grundsatz von Treu und Glauben, § 242 BGB; BGH NJW 2001, 1811).</w:t>
      </w:r>
    </w:p>
    <w:p>
      <w:pPr>
        <w:jc w:val="left"/>
      </w:pPr>
      <w:r>
        <w:rPr>
          <w:b/>
        </w:rPr>
        <w:t>Beispiel:</w:t>
      </w:r>
      <w:r>
        <w:t xml:space="preserve"> Ratschke hätte den Briefkasten absichtlich geleert — dann fingierter Zugang zum normalen Zustellzeitpunkt.</w:t>
      </w:r>
    </w:p>
    <w:p/>
    <w:p>
      <w:pPr>
        <w:pStyle w:val="Heading2"/>
      </w:pPr>
      <w:r>
        <w:rPr>
          <w:rFonts w:ascii="Times New Roman" w:hAnsi="Times New Roman"/>
        </w:rPr>
        <w:t>VI. Klausur-Schema Zugang</w:t>
      </w:r>
    </w:p>
    <w:p>
      <w:pPr>
        <w:jc w:val="left"/>
      </w:pPr>
      <w:r>
        <w:t>```</w:t>
      </w:r>
    </w:p>
    <w:p>
      <w:pPr>
        <w:jc w:val="left"/>
      </w:pPr>
      <w:r>
        <w:t>§ 130 BGB Zugangsprüfung:</w:t>
      </w:r>
    </w:p>
    <w:p>
      <w:pPr>
        <w:jc w:val="left"/>
      </w:pPr>
      <w:r>
        <w:t>[1] Empfangsbedürftige WE? (fast alle im Vertragsverhältnis: ja)</w:t>
      </w:r>
    </w:p>
    <w:p>
      <w:pPr>
        <w:jc w:val="left"/>
      </w:pPr>
      <w:r>
        <w:t>[2] Abgabe der WE (Hinausgabe aus Machtbereich des Erklärenden)</w:t>
      </w:r>
    </w:p>
    <w:p>
      <w:pPr>
        <w:jc w:val="left"/>
      </w:pPr>
      <w:r>
        <w:t>[3] Gelangen in Machtbereich des Empfängers</w:t>
      </w:r>
    </w:p>
    <w:p>
      <w:pPr>
        <w:jc w:val="left"/>
      </w:pPr>
      <w:r>
        <w:t>├── Brief → Briefkasten zu ortsüblicher Postzeit</w:t>
      </w:r>
    </w:p>
    <w:p>
      <w:pPr>
        <w:jc w:val="left"/>
      </w:pPr>
      <w:r>
        <w:t>├── Fax → vollständiger Empfangsausdruck / Speicherung</w:t>
      </w:r>
    </w:p>
    <w:p>
      <w:pPr>
        <w:jc w:val="left"/>
      </w:pPr>
      <w:r>
        <w:t>└── E-Mail → Postfach des Empfängers abrufbar</w:t>
      </w:r>
    </w:p>
    <w:p>
      <w:pPr>
        <w:jc w:val="left"/>
      </w:pPr>
      <w:r>
        <w:t>[4] Unter normalen Umständen Kenntnisnahme zu erwarten?</w:t>
      </w:r>
    </w:p>
    <w:p>
      <w:pPr>
        <w:jc w:val="left"/>
      </w:pPr>
      <w:r>
        <w:t>├── Geschäftszeiten → Zugang am selben Tag</w:t>
      </w:r>
    </w:p>
    <w:p>
      <w:pPr>
        <w:jc w:val="left"/>
      </w:pPr>
      <w:r>
        <w:t>└── Außerhalb Geschäftszeiten → Zugang am nächsten Werktag</w:t>
      </w:r>
    </w:p>
    <w:p>
      <w:pPr>
        <w:jc w:val="left"/>
      </w:pPr>
      <w:r>
        <w:t>[5] Widerruf (§ 130 I S. 2 BGB): nur vor/gleichzeitig mit Zugang</w:t>
      </w:r>
    </w:p>
    <w:p>
      <w:pPr>
        <w:jc w:val="left"/>
      </w:pPr>
      <w:r>
        <w:t>[6] Zugangsvereitelung: § 242 BGB → fingierter Zugang</w:t>
      </w:r>
    </w:p>
    <w:p>
      <w:pPr>
        <w:jc w:val="left"/>
      </w:pPr>
      <w:r>
        <w:t>```</w:t>
      </w:r>
    </w:p>
    <w:p>
      <w:pPr>
        <w:jc w:val="left"/>
      </w:pPr>
      <w:r>
        <w:rPr>
          <w:b/>
        </w:rPr>
        <w:t>Quellen:</w:t>
      </w:r>
    </w:p>
    <w:p>
      <w:pPr>
        <w:jc w:val="left"/>
      </w:pPr>
      <w:r>
        <w:t>§ 130 BGB: https://dejure.org/gesetze/BGB/130.html</w:t>
      </w:r>
    </w:p>
    <w:p>
      <w:pPr>
        <w:jc w:val="left"/>
      </w:pPr>
      <w:r>
        <w:t>BGH NJW 2004, 1320 (Briefkasten-Zugang): https://www.bundesgerichtshof.de</w:t>
      </w:r>
    </w:p>
    <w:p>
      <w:pPr>
        <w:jc w:val="left"/>
      </w:pPr>
      <w:r>
        <w:t>BGH NJW 1988, 2109 (Empfangsbote, Familienmitglied): https://www.bundesgerichtshof.de</w:t>
      </w:r>
    </w:p>
    <w:p>
      <w:pPr>
        <w:jc w:val="left"/>
      </w:pPr>
      <w:r>
        <w:t>BGH NJW 2019, 607 (Zugang E-Mail): https://www.bundesgerichtshof.de</w:t>
      </w:r>
    </w:p>
    <w:p>
      <w:pPr>
        <w:jc w:val="left"/>
      </w:pPr>
      <w:r>
        <w:t>BGH NJW 2001, 1811 (Zugangsvereitelung, § 242 BGB): https://openjur.de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Meißen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Meißen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