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Prozessuale Strategie — LG Leipzig 4 O 188/26 (Pachtanfechtung)</w:t>
      </w:r>
    </w:p>
    <w:p>
      <w:pPr>
        <w:jc w:val="left"/>
      </w:pPr>
      <w:r>
        <w:rPr>
          <w:b/>
        </w:rPr>
        <w:t>Bearbeiter:</w:t>
      </w:r>
      <w:r>
        <w:t xml:space="preserve"> RA Dr. Heinrich Schweizer-Loberg</w:t>
      </w:r>
    </w:p>
    <w:p>
      <w:pPr>
        <w:jc w:val="left"/>
      </w:pPr>
      <w:r>
        <w:rPr>
          <w:b/>
        </w:rPr>
        <w:t>Datum:</w:t>
      </w:r>
      <w:r>
        <w:t xml:space="preserve"> 06. Mai 2026</w:t>
      </w:r>
    </w:p>
    <w:p>
      <w:pPr>
        <w:jc w:val="left"/>
      </w:pPr>
      <w:r>
        <w:rPr>
          <w:b/>
        </w:rPr>
        <w:t>Bezug:</w:t>
      </w:r>
      <w:r>
        <w:t xml:space="preserve"> Pachtanfechtungsklage; Gegenklagestrategie Ratschke; Vorbereitung Klagerwiderung / Klage</w:t>
      </w:r>
    </w:p>
    <w:p/>
    <w:p>
      <w:pPr>
        <w:pStyle w:val="Heading2"/>
      </w:pPr>
      <w:r>
        <w:rPr>
          <w:rFonts w:ascii="Times New Roman" w:hAnsi="Times New Roman"/>
        </w:rPr>
        <w:t>I. Verfahrensstand</w:t>
      </w:r>
    </w:p>
    <w:p>
      <w:pPr>
        <w:jc w:val="left"/>
      </w:pPr>
      <w:r>
        <w:t>Friedhelm Ratschke (Kläger, vertreten durch RA Klüpfel) hat am 10. April 2026 beim LG Leipzig Klage erhoben mit dem Antrag, festzustellen, dass der Pachtvertrag vom 03.02.2026 zwischen den Parteien wirksam ist (negative Feststellungsklage § 256 ZPO). Hilfsweise beantragt er Zahlung der Pacht für März und April 2026 (2 × 9.800 EUR = 19.600 EUR) sowie Schadensersatz nach § 122 BGB.</w:t>
      </w:r>
    </w:p>
    <w:p>
      <w:pPr>
        <w:jc w:val="left"/>
      </w:pPr>
      <w:r>
        <w:t>Die GmbH als Beklagte hat bis zum 20.05.2026 Zeit zur Klageerwiderung.</w:t>
      </w:r>
    </w:p>
    <w:p/>
    <w:p>
      <w:pPr>
        <w:pStyle w:val="Heading2"/>
      </w:pPr>
      <w:r>
        <w:rPr>
          <w:rFonts w:ascii="Times New Roman" w:hAnsi="Times New Roman"/>
        </w:rPr>
        <w:t>II. Klagerwiderung — Aufbau und Argumente</w:t>
      </w:r>
    </w:p>
    <w:p>
      <w:pPr>
        <w:pStyle w:val="Heading3"/>
      </w:pPr>
      <w:r>
        <w:rPr>
          <w:rFonts w:ascii="Times New Roman" w:hAnsi="Times New Roman"/>
        </w:rPr>
        <w:t>A. Hauptantrag: Anfechtung wirksam (§ 119 Abs. 1 BGB)</w:t>
      </w:r>
    </w:p>
    <w:p>
      <w:pPr>
        <w:jc w:val="left"/>
      </w:pPr>
      <w:r>
        <w:rPr>
          <w:b/>
        </w:rPr>
        <w:t>Aufbau der Klagerwiderung:</w:t>
      </w:r>
    </w:p>
    <w:p>
      <w:pPr>
        <w:pStyle w:val="ListNumber"/>
      </w:pPr>
      <w:r>
        <w:rPr>
          <w:b/>
        </w:rPr>
        <w:t>Sachverhaltsdarstellung aus Sicht der Beklagten:</w:t>
      </w:r>
    </w:p>
    <w:p>
      <w:pPr>
        <w:pStyle w:val="ListBullet"/>
      </w:pPr>
      <w:r>
        <w:t>Renovierungsdruck im Februar 2026</w:t>
      </w:r>
    </w:p>
    <w:p>
      <w:pPr>
        <w:pStyle w:val="ListBullet"/>
      </w:pPr>
      <w:r>
        <w:t>Tilidin-Einnahme (Attest Dr. Holzmann vorliegend)</w:t>
      </w:r>
    </w:p>
    <w:p>
      <w:pPr>
        <w:pStyle w:val="ListBullet"/>
      </w:pPr>
      <w:r>
        <w:t>Verhandlungskorrespondenz mit Ziffer 4.900 EUR (E-Mails)</w:t>
      </w:r>
    </w:p>
    <w:p>
      <w:pPr>
        <w:pStyle w:val="ListBullet"/>
      </w:pPr>
      <w:r>
        <w:t>Bewusstwerden des Irrtums erst 10.02.2026</w:t>
      </w:r>
    </w:p>
    <w:p>
      <w:pPr>
        <w:pStyle w:val="ListNumber"/>
      </w:pPr>
      <w:r>
        <w:rPr>
          <w:b/>
        </w:rPr>
        <w:t>Rechtliche Ausführungen:</w:t>
      </w:r>
    </w:p>
    <w:p>
      <w:pPr>
        <w:pStyle w:val="ListBullet"/>
      </w:pPr>
      <w:r>
        <w:t>Erklärungsirrtum § 119 Abs. 1 Alt. 1 BGB: Verlesen/Nichterkennen der Ziffer 9.800 EUR</w:t>
      </w:r>
    </w:p>
    <w:p>
      <w:pPr>
        <w:pStyle w:val="ListBullet"/>
      </w:pPr>
      <w:r>
        <w:t>Fristwahrung § 121 BGB: Kenntnis 10.02.2026; Zugang Anfechtungserklärung 20.03.2026 = 38 Tage ab Kenntnis; bei unternehmerischem Kontext und Rechtsberatung (ab 01.03.2026) noch unverzüglich (BGH NJW 2008, 3352)</w:t>
      </w:r>
    </w:p>
    <w:p>
      <w:pPr>
        <w:pStyle w:val="ListBullet"/>
      </w:pPr>
      <w:r>
        <w:t>Hilfsweise § 105 Abs. 2 BGB: Vorübergehende Geschäftsunfähigkeit durch Tilidin</w:t>
      </w:r>
    </w:p>
    <w:p>
      <w:pPr>
        <w:pStyle w:val="ListNumber"/>
      </w:pPr>
      <w:r>
        <w:rPr>
          <w:b/>
        </w:rPr>
        <w:t>Beweisangebote:</w:t>
      </w:r>
    </w:p>
    <w:p>
      <w:pPr>
        <w:pStyle w:val="ListBullet"/>
      </w:pPr>
      <w:r>
        <w:t>Zeuge Silke Oertel (Benommenheit der Beklagten)</w:t>
      </w:r>
    </w:p>
    <w:p>
      <w:pPr>
        <w:pStyle w:val="ListBullet"/>
      </w:pPr>
      <w:r>
        <w:t>Dr. Holzmann (Sachverständige/Zeugin zur Tilidin-Wirkung)</w:t>
      </w:r>
    </w:p>
    <w:p>
      <w:pPr>
        <w:pStyle w:val="ListBullet"/>
      </w:pPr>
      <w:r>
        <w:t>Sachverständigengutachten TÜV/Pharmakologie</w:t>
      </w:r>
    </w:p>
    <w:p>
      <w:pPr>
        <w:pStyle w:val="ListBullet"/>
      </w:pPr>
      <w:r>
        <w:t>E-Mails vom 20.01.2026 und 28.01.2026 (Verhandlungskorrespondenz)</w:t>
      </w:r>
    </w:p>
    <w:p>
      <w:pPr>
        <w:pStyle w:val="Heading3"/>
      </w:pPr>
      <w:r>
        <w:rPr>
          <w:rFonts w:ascii="Times New Roman" w:hAnsi="Times New Roman"/>
        </w:rPr>
        <w:t>B. Hilfsantrag: Kein Vertrauensschaden § 122 BGB</w:t>
      </w:r>
    </w:p>
    <w:p>
      <w:pPr>
        <w:jc w:val="left"/>
      </w:pPr>
      <w:r>
        <w:t>Ratschke müsste seinen Vertrauensschaden konkret darlegen und belegen. Allgemeine Behauptungen genügen nicht.</w:t>
      </w:r>
    </w:p>
    <w:p>
      <w:pPr>
        <w:pStyle w:val="ListBullet"/>
      </w:pPr>
      <w:r>
        <w:t>Welche konkreten Dispositionen hat Ratschke im Vertrauen auf den Vertragsbestand getroffen?</w:t>
      </w:r>
    </w:p>
    <w:p>
      <w:pPr>
        <w:pStyle w:val="ListBullet"/>
      </w:pPr>
      <w:r>
        <w:t>Hat er Investitionen im Ladenlokal vorgenommen?</w:t>
      </w:r>
    </w:p>
    <w:p>
      <w:pPr>
        <w:pStyle w:val="ListBullet"/>
      </w:pPr>
      <w:r>
        <w:t>Hat er anderweitige Mietinteressenten abgewiesen?</w:t>
      </w:r>
    </w:p>
    <w:p>
      <w:pPr>
        <w:jc w:val="left"/>
      </w:pPr>
      <w:r>
        <w:rPr>
          <w:b/>
        </w:rPr>
        <w:t>Strategie:</w:t>
      </w:r>
      <w:r>
        <w:t xml:space="preserve"> Ratschke zur detaillierten Schadensaufschlüsselung zwingen; Gegenbeweise vorbereiten.</w:t>
      </w:r>
    </w:p>
    <w:p/>
    <w:p>
      <w:pPr>
        <w:pStyle w:val="Heading2"/>
      </w:pPr>
      <w:r>
        <w:rPr>
          <w:rFonts w:ascii="Times New Roman" w:hAnsi="Times New Roman"/>
        </w:rPr>
        <w:t>III. Beweislastverteilung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Beweislast</w:t>
            </w:r>
          </w:p>
        </w:tc>
      </w:tr>
      <w:tr>
        <w:tc>
          <w:tcPr>
            <w:tcW w:type="dxa" w:w="4536"/>
          </w:tcPr>
          <w:p>
            <w:r>
              <w:rPr>
                <w:rFonts w:ascii="Times New Roman" w:hAnsi="Times New Roman"/>
                <w:sz w:val="20"/>
              </w:rPr>
              <w:t>Anfechtungsgrund (§ 119 I BGB)</w:t>
            </w:r>
          </w:p>
        </w:tc>
        <w:tc>
          <w:tcPr>
            <w:tcW w:type="dxa" w:w="4536"/>
          </w:tcPr>
          <w:p>
            <w:r>
              <w:rPr>
                <w:rFonts w:ascii="Times New Roman" w:hAnsi="Times New Roman"/>
                <w:sz w:val="20"/>
              </w:rPr>
              <w:t>Beklagte (Pohlmann-Ofenkaess)</w:t>
            </w:r>
          </w:p>
        </w:tc>
      </w:tr>
      <w:tr>
        <w:tc>
          <w:tcPr>
            <w:tcW w:type="dxa" w:w="4536"/>
          </w:tcPr>
          <w:p>
            <w:r>
              <w:rPr>
                <w:rFonts w:ascii="Times New Roman" w:hAnsi="Times New Roman"/>
                <w:sz w:val="20"/>
              </w:rPr>
              <w:t>Fristwahrung (§ 121 BGB)</w:t>
            </w:r>
          </w:p>
        </w:tc>
        <w:tc>
          <w:tcPr>
            <w:tcW w:type="dxa" w:w="4536"/>
          </w:tcPr>
          <w:p>
            <w:r>
              <w:rPr>
                <w:rFonts w:ascii="Times New Roman" w:hAnsi="Times New Roman"/>
                <w:sz w:val="20"/>
              </w:rPr>
              <w:t>Beklagte</w:t>
            </w:r>
          </w:p>
        </w:tc>
      </w:tr>
      <w:tr>
        <w:tc>
          <w:tcPr>
            <w:tcW w:type="dxa" w:w="4536"/>
          </w:tcPr>
          <w:p>
            <w:r>
              <w:rPr>
                <w:rFonts w:ascii="Times New Roman" w:hAnsi="Times New Roman"/>
                <w:sz w:val="20"/>
              </w:rPr>
              <w:t>Kenntnis Ratschke vom Irrtum (§ 122 II BGB)</w:t>
            </w:r>
          </w:p>
        </w:tc>
        <w:tc>
          <w:tcPr>
            <w:tcW w:type="dxa" w:w="4536"/>
          </w:tcPr>
          <w:p>
            <w:r>
              <w:rPr>
                <w:rFonts w:ascii="Times New Roman" w:hAnsi="Times New Roman"/>
                <w:sz w:val="20"/>
              </w:rPr>
              <w:t>Beklagte</w:t>
            </w:r>
          </w:p>
        </w:tc>
      </w:tr>
      <w:tr>
        <w:tc>
          <w:tcPr>
            <w:tcW w:type="dxa" w:w="4536"/>
          </w:tcPr>
          <w:p>
            <w:r>
              <w:rPr>
                <w:rFonts w:ascii="Times New Roman" w:hAnsi="Times New Roman"/>
                <w:sz w:val="20"/>
              </w:rPr>
              <w:t>Vertrauensschaden (§ 122 I BGB)</w:t>
            </w:r>
          </w:p>
        </w:tc>
        <w:tc>
          <w:tcPr>
            <w:tcW w:type="dxa" w:w="4536"/>
          </w:tcPr>
          <w:p>
            <w:r>
              <w:rPr>
                <w:rFonts w:ascii="Times New Roman" w:hAnsi="Times New Roman"/>
                <w:sz w:val="20"/>
              </w:rPr>
              <w:t>Kläger (Ratschke)</w:t>
            </w:r>
          </w:p>
        </w:tc>
      </w:tr>
      <w:tr>
        <w:tc>
          <w:tcPr>
            <w:tcW w:type="dxa" w:w="4536"/>
          </w:tcPr>
          <w:p>
            <w:r>
              <w:rPr>
                <w:rFonts w:ascii="Times New Roman" w:hAnsi="Times New Roman"/>
                <w:sz w:val="20"/>
              </w:rPr>
              <w:t>Höhe Vertrauensschaden</w:t>
            </w:r>
          </w:p>
        </w:tc>
        <w:tc>
          <w:tcPr>
            <w:tcW w:type="dxa" w:w="4536"/>
          </w:tcPr>
          <w:p>
            <w:r>
              <w:rPr>
                <w:rFonts w:ascii="Times New Roman" w:hAnsi="Times New Roman"/>
                <w:sz w:val="20"/>
              </w:rPr>
              <w:t>Kläger</w:t>
            </w:r>
          </w:p>
        </w:tc>
      </w:tr>
    </w:tbl>
    <w:p/>
    <w:p>
      <w:pPr>
        <w:pStyle w:val="Heading2"/>
      </w:pPr>
      <w:r>
        <w:rPr>
          <w:rFonts w:ascii="Times New Roman" w:hAnsi="Times New Roman"/>
        </w:rPr>
        <w:t>IV. Vergleichsmöglichkeiten</w:t>
      </w:r>
    </w:p>
    <w:p>
      <w:pPr>
        <w:jc w:val="left"/>
      </w:pPr>
      <w:r>
        <w:t>Ratschke hat signalisiert, dass er an einer Fortsetzung des Pachtverhältnisses zu einem angepassten Preis interessiert sein könnte. Mögliche Vergleichslösungen:</w:t>
      </w:r>
    </w:p>
    <w:p>
      <w:pPr>
        <w:jc w:val="left"/>
      </w:pPr>
      <w:r>
        <w:rPr>
          <w:b/>
        </w:rPr>
        <w:t>Option 1: Pacht auf 4.900 EUR anpassen</w:t>
      </w:r>
    </w:p>
    <w:p>
      <w:pPr>
        <w:pStyle w:val="ListBullet"/>
      </w:pPr>
      <w:r>
        <w:t>Beide Parteien einigen sich auf 4.900 EUR/Monat</w:t>
      </w:r>
    </w:p>
    <w:p>
      <w:pPr>
        <w:pStyle w:val="ListBullet"/>
      </w:pPr>
      <w:r>
        <w:t>Kläger verzichtet auf § 122 BGB-Ansprüche gegen Aufwandsentschädigung von 5.000 EUR (einmalig)</w:t>
      </w:r>
    </w:p>
    <w:p>
      <w:pPr>
        <w:pStyle w:val="ListBullet"/>
      </w:pPr>
      <w:r>
        <w:t>GmbH zieht zum 01.06.2026 in die Räume ein</w:t>
      </w:r>
    </w:p>
    <w:p>
      <w:pPr>
        <w:jc w:val="left"/>
      </w:pPr>
      <w:r>
        <w:rPr>
          <w:b/>
        </w:rPr>
        <w:t>Option 2: Pachtvertrag aufheben, keine gegenseitigen Ansprüche</w:t>
      </w:r>
    </w:p>
    <w:p>
      <w:pPr>
        <w:pStyle w:val="ListBullet"/>
      </w:pPr>
      <w:r>
        <w:t>Ratschke vermietet an anderen Mieter</w:t>
      </w:r>
    </w:p>
    <w:p>
      <w:pPr>
        <w:pStyle w:val="ListBullet"/>
      </w:pPr>
      <w:r>
        <w:t>GmbH sucht Ausweichobjekt</w:t>
      </w:r>
    </w:p>
    <w:p>
      <w:pPr>
        <w:pStyle w:val="ListBullet"/>
      </w:pPr>
      <w:r>
        <w:t>Schadensersatz § 122 BGB: kompromissmäßig auf 8.000 EUR begrenzt</w:t>
      </w:r>
    </w:p>
    <w:p>
      <w:pPr>
        <w:jc w:val="left"/>
      </w:pPr>
      <w:r>
        <w:rPr>
          <w:b/>
        </w:rPr>
        <w:t>Empfehlung:</w:t>
      </w:r>
      <w:r>
        <w:t xml:space="preserve"> Option 1 bevorzugt, wenn Mandantin weiterhin an der Erbenstraße 88 interessiert ist und der Standort wirtschaftlich attraktiv bleibt.</w:t>
      </w:r>
    </w:p>
    <w:p/>
    <w:p>
      <w:pPr>
        <w:pStyle w:val="Heading2"/>
      </w:pPr>
      <w:r>
        <w:rPr>
          <w:rFonts w:ascii="Times New Roman" w:hAnsi="Times New Roman"/>
        </w:rPr>
        <w:t>V. Streitwert und Kosten</w:t>
      </w:r>
    </w:p>
    <w:p>
      <w:pPr>
        <w:jc w:val="left"/>
      </w:pPr>
      <w:r>
        <w:rPr>
          <w:b/>
        </w:rPr>
        <w:t>Streitwert (§ 9 ZPO):</w:t>
      </w:r>
      <w:r>
        <w:t xml:space="preserve"> Bei Pacht auf bestimmte Zeit: 42-facher Jahresmonatsmiete (§ 9 ZPO). Streitwert bei 9.800 EUR/Monat × 12 × 42/12 = 5 Jahre × 12 × 9.800 EUR = 117.600 EUR (Streitwert bei 5-jährigem Pachtvertrag).</w:t>
      </w:r>
    </w:p>
    <w:p>
      <w:pPr>
        <w:jc w:val="left"/>
      </w:pPr>
      <w:r>
        <w:t>Tatsächlich: Bei unbestimmter Laufzeit gilt 3,5-facher Jahreswert = 3,5 × 12 × 9.800 EUR = 411.600 EUR (§ 9 ZPO).</w:t>
      </w:r>
    </w:p>
    <w:p>
      <w:pPr>
        <w:jc w:val="left"/>
      </w:pPr>
      <w:r>
        <w:rPr>
          <w:b/>
        </w:rPr>
        <w:t>Gerichtskosten (GKG):</w:t>
      </w:r>
      <w:r>
        <w:t xml:space="preserve"> Gebührenrahmen 3,0 Gerichtsgebühren bei 411.600 EUR Streitwert ≈ 3.960 EUR Gerichtsgebühren.</w:t>
      </w:r>
    </w:p>
    <w:p>
      <w:pPr>
        <w:jc w:val="left"/>
      </w:pPr>
      <w:r>
        <w:rPr>
          <w:b/>
        </w:rPr>
        <w:t>Anwaltskosten:</w:t>
      </w:r>
      <w:r>
        <w:t xml:space="preserve"> RVG 2,5 Verfahrensgebühr + 1,2 Terminsgebühr bei Streitwert 411.600 EUR; Gesamtanwaltskosten beider Seiten ca. 30.000–40.000 EUR.</w:t>
      </w:r>
    </w:p>
    <w:p/>
    <w:p>
      <w:pPr>
        <w:pStyle w:val="Heading2"/>
      </w:pPr>
      <w:r>
        <w:rPr>
          <w:rFonts w:ascii="Times New Roman" w:hAnsi="Times New Roman"/>
        </w:rPr>
        <w:t>VI. Fristen im Verfahren LG Leipzig 4 O 188/26</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Frist</w:t>
            </w:r>
          </w:p>
        </w:tc>
        <w:tc>
          <w:tcPr>
            <w:tcW w:type="dxa" w:w="3024"/>
          </w:tcPr>
          <w:p>
            <w:r>
              <w:rPr>
                <w:rFonts w:ascii="Times New Roman" w:hAnsi="Times New Roman"/>
                <w:b/>
                <w:sz w:val="20"/>
              </w:rPr>
              <w:t>Datum</w:t>
            </w:r>
          </w:p>
        </w:tc>
        <w:tc>
          <w:tcPr>
            <w:tcW w:type="dxa" w:w="3024"/>
          </w:tcPr>
          <w:p>
            <w:r>
              <w:rPr>
                <w:rFonts w:ascii="Times New Roman" w:hAnsi="Times New Roman"/>
                <w:b/>
                <w:sz w:val="20"/>
              </w:rPr>
              <w:t>Maßnahme</w:t>
            </w:r>
          </w:p>
        </w:tc>
      </w:tr>
      <w:tr>
        <w:tc>
          <w:tcPr>
            <w:tcW w:type="dxa" w:w="3024"/>
          </w:tcPr>
          <w:p>
            <w:r>
              <w:rPr>
                <w:rFonts w:ascii="Times New Roman" w:hAnsi="Times New Roman"/>
                <w:sz w:val="20"/>
              </w:rPr>
              <w:t>Klageerwiderungsfrist</w:t>
            </w:r>
          </w:p>
        </w:tc>
        <w:tc>
          <w:tcPr>
            <w:tcW w:type="dxa" w:w="3024"/>
          </w:tcPr>
          <w:p>
            <w:r>
              <w:rPr>
                <w:rFonts w:ascii="Times New Roman" w:hAnsi="Times New Roman"/>
                <w:sz w:val="20"/>
              </w:rPr>
              <w:t>20.05.2026</w:t>
            </w:r>
          </w:p>
        </w:tc>
        <w:tc>
          <w:tcPr>
            <w:tcW w:type="dxa" w:w="3024"/>
          </w:tcPr>
          <w:p>
            <w:r>
              <w:rPr>
                <w:rFonts w:ascii="Times New Roman" w:hAnsi="Times New Roman"/>
                <w:sz w:val="20"/>
              </w:rPr>
              <w:t>Klagerwiderung einreichen</w:t>
            </w:r>
          </w:p>
        </w:tc>
      </w:tr>
      <w:tr>
        <w:tc>
          <w:tcPr>
            <w:tcW w:type="dxa" w:w="3024"/>
          </w:tcPr>
          <w:p>
            <w:r>
              <w:rPr>
                <w:rFonts w:ascii="Times New Roman" w:hAnsi="Times New Roman"/>
                <w:sz w:val="20"/>
              </w:rPr>
              <w:t>Antrag Fristverlängerung</w:t>
            </w:r>
          </w:p>
        </w:tc>
        <w:tc>
          <w:tcPr>
            <w:tcW w:type="dxa" w:w="3024"/>
          </w:tcPr>
          <w:p>
            <w:r>
              <w:rPr>
                <w:rFonts w:ascii="Times New Roman" w:hAnsi="Times New Roman"/>
                <w:sz w:val="20"/>
              </w:rPr>
              <w:t>Bis 15.05.2026</w:t>
            </w:r>
          </w:p>
        </w:tc>
        <w:tc>
          <w:tcPr>
            <w:tcW w:type="dxa" w:w="3024"/>
          </w:tcPr>
          <w:p>
            <w:r>
              <w:rPr>
                <w:rFonts w:ascii="Times New Roman" w:hAnsi="Times New Roman"/>
                <w:sz w:val="20"/>
              </w:rPr>
              <w:t>Falls nötig: Verlängerung 2 Wochen beantragen</w:t>
            </w:r>
          </w:p>
        </w:tc>
      </w:tr>
      <w:tr>
        <w:tc>
          <w:tcPr>
            <w:tcW w:type="dxa" w:w="3024"/>
          </w:tcPr>
          <w:p>
            <w:r>
              <w:rPr>
                <w:rFonts w:ascii="Times New Roman" w:hAnsi="Times New Roman"/>
                <w:sz w:val="20"/>
              </w:rPr>
              <w:t>Sachverständigengutachten Pharmakologie</w:t>
            </w:r>
          </w:p>
        </w:tc>
        <w:tc>
          <w:tcPr>
            <w:tcW w:type="dxa" w:w="3024"/>
          </w:tcPr>
          <w:p>
            <w:r>
              <w:rPr>
                <w:rFonts w:ascii="Times New Roman" w:hAnsi="Times New Roman"/>
                <w:sz w:val="20"/>
              </w:rPr>
              <w:t>Bestellt, Ergebnis bis 31.05.2026</w:t>
            </w:r>
          </w:p>
        </w:tc>
        <w:tc>
          <w:tcPr>
            <w:tcW w:type="dxa" w:w="3024"/>
          </w:tcPr>
          <w:p>
            <w:r>
              <w:rPr>
                <w:rFonts w:ascii="Times New Roman" w:hAnsi="Times New Roman"/>
                <w:sz w:val="20"/>
              </w:rPr>
              <w:t>Vorlage an Gericht nach Eingang</w:t>
            </w:r>
          </w:p>
        </w:tc>
      </w:tr>
      <w:tr>
        <w:tc>
          <w:tcPr>
            <w:tcW w:type="dxa" w:w="3024"/>
          </w:tcPr>
          <w:p>
            <w:r>
              <w:rPr>
                <w:rFonts w:ascii="Times New Roman" w:hAnsi="Times New Roman"/>
                <w:sz w:val="20"/>
              </w:rPr>
              <w:t>Güteverhandlung (voraussichtlich)</w:t>
            </w:r>
          </w:p>
        </w:tc>
        <w:tc>
          <w:tcPr>
            <w:tcW w:type="dxa" w:w="3024"/>
          </w:tcPr>
          <w:p>
            <w:r>
              <w:rPr>
                <w:rFonts w:ascii="Times New Roman" w:hAnsi="Times New Roman"/>
                <w:sz w:val="20"/>
              </w:rPr>
              <w:t>August/September 2026</w:t>
            </w:r>
          </w:p>
        </w:tc>
        <w:tc>
          <w:tcPr>
            <w:tcW w:type="dxa" w:w="3024"/>
          </w:tcPr>
          <w:p>
            <w:r>
              <w:rPr>
                <w:rFonts w:ascii="Times New Roman" w:hAnsi="Times New Roman"/>
                <w:sz w:val="20"/>
              </w:rPr>
              <w:t>Vorbereitung Vergleichsgespräch</w:t>
            </w:r>
          </w:p>
        </w:tc>
      </w:tr>
    </w:tbl>
    <w:p>
      <w:pPr>
        <w:jc w:val="left"/>
      </w:pPr>
      <w:r>
        <w:rPr>
          <w:b/>
        </w:rPr>
        <w:t>Quellen:</w:t>
      </w:r>
    </w:p>
    <w:p>
      <w:pPr>
        <w:jc w:val="left"/>
      </w:pPr>
      <w:r>
        <w:t>§§ 256, 261 ff. ZPO (Feststellungsklage, Streitwert): https://dejure.org/gesetze/ZPO</w:t>
      </w:r>
    </w:p>
    <w:p>
      <w:pPr>
        <w:jc w:val="left"/>
      </w:pPr>
      <w:r>
        <w:t>§ 9 ZPO (Streitwert Pacht): https://dejure.org/gesetze/ZPO/9.html</w:t>
      </w:r>
    </w:p>
    <w:p>
      <w:pPr>
        <w:jc w:val="left"/>
      </w:pPr>
      <w:r>
        <w:t>BGH NJW 2008, 3352 (Unverzüglichkeit): https://www.bundesgerichtshof.de</w:t>
      </w:r>
    </w:p>
    <w:p>
      <w:pPr>
        <w:jc w:val="left"/>
      </w:pPr>
      <w:r>
        <w:t>GKG-Kommentar, Hartmann, 50. Aufl. 2025, § 41 GKG (Pachtstreitigkeiten)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Die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Die GmbH</w:t>
    </w:r>
  </w:p>
  <w:p>
    <w:pPr>
      <w:jc w:val="left"/>
      <w:pBdr>
        <w:bottom w:val="single" w:sz="6" w:space="2" w:color="11555F"/>
      </w:pBdr>
    </w:pPr>
    <w:r>
      <w:rPr>
        <w:rFonts w:ascii="Times New Roman" w:hAnsi="Times New Roman"/>
        <w:color w:val="6B6B66"/>
        <w:sz w:val="16"/>
      </w:rPr>
      <w:t>Unternehmen · 4 O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