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Fristenberechnung BGB AT — §§ 186–193 BGB: Praktische Berechnungsbeispiele</w:t>
      </w:r>
    </w:p>
    <w:p>
      <w:pPr>
        <w:jc w:val="left"/>
      </w:pPr>
      <w:r>
        <w:rPr>
          <w:b/>
        </w:rPr>
        <w:t>Bearbeiter:</w:t>
      </w:r>
      <w:r>
        <w:t xml:space="preserve"> RA Dr. Heinrich Schweizer-Loberg</w:t>
      </w:r>
    </w:p>
    <w:p>
      <w:pPr>
        <w:jc w:val="left"/>
      </w:pPr>
      <w:r>
        <w:rPr>
          <w:b/>
        </w:rPr>
        <w:t>Datum:</w:t>
      </w:r>
      <w:r>
        <w:t xml:space="preserve"> 10. Mai 2026</w:t>
      </w:r>
    </w:p>
    <w:p>
      <w:pPr>
        <w:jc w:val="left"/>
      </w:pPr>
      <w:r>
        <w:rPr>
          <w:b/>
        </w:rPr>
        <w:t>Bezug:</w:t>
      </w:r>
      <w:r>
        <w:t xml:space="preserve"> Alle Fristen in der Akte Pohlmann-Ofenkaess; Klausur-Vorbereitung</w:t>
      </w:r>
    </w:p>
    <w:p/>
    <w:p>
      <w:pPr>
        <w:pStyle w:val="Heading2"/>
      </w:pPr>
      <w:r>
        <w:rPr>
          <w:rFonts w:ascii="Times New Roman" w:hAnsi="Times New Roman"/>
        </w:rPr>
        <w:t>I. Gesetzliche Grundlagen Fristberechnung</w:t>
      </w:r>
    </w:p>
    <w:p>
      <w:pPr>
        <w:pStyle w:val="Heading3"/>
      </w:pPr>
      <w:r>
        <w:rPr>
          <w:rFonts w:ascii="Times New Roman" w:hAnsi="Times New Roman"/>
        </w:rPr>
        <w:t>§ 186 BGB — Anwendungsbereich</w:t>
      </w:r>
    </w:p>
    <w:p>
      <w:pPr>
        <w:jc w:val="left"/>
      </w:pPr>
      <w:r>
        <w:t>„Für die in Gesetzen, gerichtlichen Verfügungen und Rechtsgeschäften enthaltenen Fristen und Termine gelten die Auslegungsregeln der §§ 187 bis 193."</w:t>
      </w:r>
    </w:p>
    <w:p>
      <w:pPr>
        <w:pStyle w:val="Heading3"/>
      </w:pPr>
      <w:r>
        <w:rPr>
          <w:rFonts w:ascii="Times New Roman" w:hAnsi="Times New Roman"/>
        </w:rPr>
        <w:t>§ 187 BGB — Fristbeginn</w:t>
      </w:r>
    </w:p>
    <w:p>
      <w:pPr>
        <w:jc w:val="left"/>
      </w:pPr>
      <w:r>
        <w:t>„(1) Ist für den Anfang einer Frist ein Ereignis oder ein in den Lauf eines Tages fallender Zeitpunkt maßgebend, so wird bei der Berechnung der Frist der Tag nicht mitgerechnet, in welchen das Ereignis oder der Zeitpunkt fällt."</w:t>
      </w:r>
    </w:p>
    <w:p>
      <w:pPr>
        <w:jc w:val="left"/>
      </w:pPr>
      <w:r>
        <w:rPr>
          <w:b/>
        </w:rPr>
        <w:t>Merksatz:</w:t>
      </w:r>
      <w:r>
        <w:t xml:space="preserve"> Der „Null-Tag" (Ereignistag) zählt nicht mit.</w:t>
      </w:r>
    </w:p>
    <w:p>
      <w:pPr>
        <w:pStyle w:val="Heading3"/>
      </w:pPr>
      <w:r>
        <w:rPr>
          <w:rFonts w:ascii="Times New Roman" w:hAnsi="Times New Roman"/>
        </w:rPr>
        <w:t>§ 188 BGB — Fristende</w:t>
      </w:r>
    </w:p>
    <w:p>
      <w:pPr>
        <w:jc w:val="left"/>
      </w:pPr>
      <w:r>
        <w:t>„(1) Eine nach Tagen bestimmte Frist endet mit dem Ablauf des letzten Tages der Frist.</w:t>
      </w:r>
    </w:p>
    <w:p>
      <w:pPr>
        <w:jc w:val="left"/>
      </w:pPr>
      <w:r>
        <w:t>(2) Eine Frist, die nach Wochen, nach Monaten oder nach einem mehrere Monate umfassenden Zeitraum — Jahr, halbes Jahr, Vierteljahr — bestimmt ist, endet im Fall des § 187 Abs. 1 mit dem Ablauf desjenigen Tages der letzten Woche oder des letzten Monats, welcher durch seine Benennung oder seine Zahl dem Tage entspricht, in den das Ereignis oder der Zeitpunkt fällt."</w:t>
      </w:r>
    </w:p>
    <w:p>
      <w:pPr>
        <w:pStyle w:val="Heading3"/>
      </w:pPr>
      <w:r>
        <w:rPr>
          <w:rFonts w:ascii="Times New Roman" w:hAnsi="Times New Roman"/>
        </w:rPr>
        <w:t>§ 193 BGB — Sonn- und Feiertage</w:t>
      </w:r>
    </w:p>
    <w:p>
      <w:pPr>
        <w:jc w:val="left"/>
      </w:pPr>
      <w:r>
        <w:t>„Fällt der für eine Willenserklärung oder eine Leistung bestimmte Tag oder das Ende einer Frist auf einen Sonntag, einen am Erklärungsort staatlich anerkannten allgemeinen Feiertag oder einen Sonnabend, so tritt an die Stelle eines solchen Tages der nächste Werktag."</w:t>
      </w:r>
    </w:p>
    <w:p/>
    <w:p>
      <w:pPr>
        <w:pStyle w:val="Heading2"/>
      </w:pPr>
      <w:r>
        <w:rPr>
          <w:rFonts w:ascii="Times New Roman" w:hAnsi="Times New Roman"/>
        </w:rPr>
        <w:t>II. Praktische Fristberechnungen — Akte Pohlmann</w:t>
      </w:r>
    </w:p>
    <w:p>
      <w:pPr>
        <w:pStyle w:val="Heading3"/>
      </w:pPr>
      <w:r>
        <w:rPr>
          <w:rFonts w:ascii="Times New Roman" w:hAnsi="Times New Roman"/>
        </w:rPr>
        <w:t>Berechnung 1: Anfechtungsfrist § 121 BGB</w:t>
      </w:r>
    </w:p>
    <w:p>
      <w:pPr>
        <w:jc w:val="left"/>
      </w:pPr>
      <w:r>
        <w:rPr>
          <w:b/>
        </w:rPr>
        <w:t>Ereignis:</w:t>
      </w:r>
      <w:r>
        <w:t xml:space="preserve"> Kenntnis vom Anfechtungsgrund: 10.02.2026 (Dienstag)</w:t>
      </w:r>
    </w:p>
    <w:p>
      <w:pPr>
        <w:jc w:val="left"/>
      </w:pPr>
      <w:r>
        <w:rPr>
          <w:b/>
        </w:rPr>
        <w:t>Frist:</w:t>
      </w:r>
      <w:r>
        <w:t xml:space="preserve"> Unverzüglich (= keine fixe Frist; Prüfung ab Kenntnis)</w:t>
      </w:r>
    </w:p>
    <w:p>
      <w:pPr>
        <w:jc w:val="left"/>
      </w:pPr>
      <w:r>
        <w:rPr>
          <w:b/>
        </w:rPr>
        <w:t>Fragestellung:</w:t>
      </w:r>
      <w:r>
        <w:t xml:space="preserve"> War die Anfechtungserklärung (Zugang 20.03.2026) noch rechtzeitig?</w:t>
      </w:r>
    </w:p>
    <w:p>
      <w:pPr>
        <w:jc w:val="left"/>
      </w:pPr>
      <w:r>
        <w:t>Zeitabstand Kenntnis bis Zugang: 38 Tage (keine fixe Berechnung §§ 186 ff. BGB; Unverzüglichkeit ist wertend zu beurteilen, s. Aktenstück 04).</w:t>
      </w:r>
    </w:p>
    <w:p>
      <w:pPr>
        <w:pStyle w:val="Heading3"/>
      </w:pPr>
      <w:r>
        <w:rPr>
          <w:rFonts w:ascii="Times New Roman" w:hAnsi="Times New Roman"/>
        </w:rPr>
        <w:t>Berechnung 2: Verjährungsbeginn § 199 BGB (Restkaufpreis Convotherm)</w:t>
      </w:r>
    </w:p>
    <w:p>
      <w:pPr>
        <w:jc w:val="left"/>
      </w:pPr>
      <w:r>
        <w:rPr>
          <w:b/>
        </w:rPr>
        <w:t>Ereignis:</w:t>
      </w:r>
      <w:r>
        <w:t xml:space="preserve"> Fälligkeit letzte Kaufpreisrate: 01.12.2025 (Montag)</w:t>
      </w:r>
    </w:p>
    <w:p>
      <w:pPr>
        <w:jc w:val="left"/>
      </w:pPr>
      <w:r>
        <w:rPr>
          <w:b/>
        </w:rPr>
        <w:t>Kenntnis Convotherm:</w:t>
      </w:r>
      <w:r>
        <w:t xml:space="preserve"> Ab Fälligkeit bekannt (01.12.2025)</w:t>
      </w:r>
    </w:p>
    <w:p>
      <w:pPr>
        <w:jc w:val="left"/>
      </w:pPr>
      <w:r>
        <w:rPr>
          <w:b/>
        </w:rPr>
        <w:t>Verjährungsbeginn gemäß § 199 Abs. 1 BGB:</w:t>
      </w:r>
      <w:r>
        <w:t xml:space="preserve"> 31.12.2025 (Stichtagsprinzip: Schluss des Jahres der Entstehung)</w:t>
      </w:r>
    </w:p>
    <w:p>
      <w:pPr>
        <w:jc w:val="left"/>
      </w:pPr>
      <w:r>
        <w:rPr>
          <w:b/>
        </w:rPr>
        <w:t>Rechnung:</w:t>
      </w:r>
    </w:p>
    <w:p>
      <w:pPr>
        <w:pStyle w:val="ListBullet"/>
      </w:pPr>
      <w:r>
        <w:t>Ereignis: 01.12.2025</w:t>
      </w:r>
    </w:p>
    <w:p>
      <w:pPr>
        <w:pStyle w:val="ListBullet"/>
      </w:pPr>
      <w:r>
        <w:t>§ 199 Abs. 1 Nr. 1: Anspruch entstanden 01.12.2025</w:t>
      </w:r>
    </w:p>
    <w:p>
      <w:pPr>
        <w:pStyle w:val="ListBullet"/>
      </w:pPr>
      <w:r>
        <w:t>§ 199 Abs. 1 Nr. 2: Kenntnis ab 01.12.2025</w:t>
      </w:r>
    </w:p>
    <w:p>
      <w:pPr>
        <w:pStyle w:val="ListBullet"/>
      </w:pPr>
      <w:r>
        <w:t>§ 195 BGB: 3 Jahre Regelverjährung</w:t>
      </w:r>
    </w:p>
    <w:p>
      <w:pPr>
        <w:pStyle w:val="ListBullet"/>
      </w:pPr>
      <w:r>
        <w:t>Verjährungsende: 31.12.2028 (3 Jahre ab 31.12.2025)</w:t>
      </w:r>
    </w:p>
    <w:p>
      <w:pPr>
        <w:pStyle w:val="ListBullet"/>
      </w:pPr>
      <w:r>
        <w:t>§ 193 BGB: 31.12.2028 ist Montag — kein Wochenendschiebung nötig</w:t>
      </w:r>
    </w:p>
    <w:p>
      <w:pPr>
        <w:jc w:val="left"/>
      </w:pPr>
      <w:r>
        <w:rPr>
          <w:b/>
        </w:rPr>
        <w:t>Ergebnis:</w:t>
      </w:r>
      <w:r>
        <w:t xml:space="preserve"> Restkaufpreisanspruch Convotherm verjährt am </w:t>
      </w:r>
      <w:r>
        <w:rPr>
          <w:b/>
        </w:rPr>
        <w:t>31.12.2028</w:t>
      </w:r>
      <w:r>
        <w:t>.</w:t>
      </w:r>
    </w:p>
    <w:p>
      <w:pPr>
        <w:pStyle w:val="Heading3"/>
      </w:pPr>
      <w:r>
        <w:rPr>
          <w:rFonts w:ascii="Times New Roman" w:hAnsi="Times New Roman"/>
        </w:rPr>
        <w:t>Berechnung 3: Einspruchsfrist Steuerbescheid § 355 Abs. 1 AO</w:t>
      </w:r>
    </w:p>
    <w:p>
      <w:pPr>
        <w:jc w:val="left"/>
      </w:pPr>
      <w:r>
        <w:rPr>
          <w:b/>
        </w:rPr>
        <w:t>Ereignis:</w:t>
      </w:r>
      <w:r>
        <w:t xml:space="preserve"> Bekanntgabe Steuerbescheid: 25.03.2026 (Mittwoch)</w:t>
      </w:r>
    </w:p>
    <w:p>
      <w:pPr>
        <w:jc w:val="left"/>
      </w:pPr>
      <w:r>
        <w:rPr>
          <w:b/>
        </w:rPr>
        <w:t>Bekanntgabefiktion § 122 Abs. 2 AO:</w:t>
      </w:r>
      <w:r>
        <w:t xml:space="preserve"> +3 Tage = 28.03.2026 (Samstag)</w:t>
      </w:r>
    </w:p>
    <w:p>
      <w:pPr>
        <w:jc w:val="left"/>
      </w:pPr>
      <w:r>
        <w:rPr>
          <w:b/>
        </w:rPr>
        <w:t>§ 108 Abs. 3 AO analog § 193 BGB:</w:t>
      </w:r>
      <w:r>
        <w:t xml:space="preserve"> Fällt Ende auf Samstag → nächster Werktag = 30.03.2026 (Montag) als Bekanntgabetag</w:t>
      </w:r>
    </w:p>
    <w:p>
      <w:pPr>
        <w:jc w:val="left"/>
      </w:pPr>
      <w:r>
        <w:rPr>
          <w:b/>
        </w:rPr>
        <w:t>Fristberechnung:</w:t>
      </w:r>
    </w:p>
    <w:p>
      <w:pPr>
        <w:pStyle w:val="ListBullet"/>
      </w:pPr>
      <w:r>
        <w:t>Bekanntgabe (Null-Tag): 30.03.2026</w:t>
      </w:r>
    </w:p>
    <w:p>
      <w:pPr>
        <w:pStyle w:val="ListBullet"/>
      </w:pPr>
      <w:r>
        <w:t>§ 355 AO: 1 Monat ab Bekanntgabe</w:t>
      </w:r>
    </w:p>
    <w:p>
      <w:pPr>
        <w:pStyle w:val="ListBullet"/>
      </w:pPr>
      <w:r>
        <w:t>Monatsfrist § 188 Abs. 2 BGB analog: Ende am 30.04.2026 (Donnerstag)</w:t>
      </w:r>
    </w:p>
    <w:p>
      <w:pPr>
        <w:pStyle w:val="ListBullet"/>
      </w:pPr>
      <w:r>
        <w:t xml:space="preserve">Einspruchsfrist: </w:t>
      </w:r>
      <w:r>
        <w:rPr>
          <w:b/>
        </w:rPr>
        <w:t>30.04.2026</w:t>
      </w:r>
    </w:p>
    <w:p>
      <w:pPr>
        <w:jc w:val="left"/>
      </w:pPr>
      <w:r>
        <w:t>Einspruch wurde am 25.04.2026 eingelegt — fristgerecht.</w:t>
      </w:r>
    </w:p>
    <w:p>
      <w:pPr>
        <w:pStyle w:val="Heading3"/>
      </w:pPr>
      <w:r>
        <w:rPr>
          <w:rFonts w:ascii="Times New Roman" w:hAnsi="Times New Roman"/>
        </w:rPr>
        <w:t>Berechnung 4: Widerrufsfrist Schenkung § 532 BGB</w:t>
      </w:r>
    </w:p>
    <w:p>
      <w:pPr>
        <w:jc w:val="left"/>
      </w:pPr>
      <w:r>
        <w:rPr>
          <w:b/>
        </w:rPr>
        <w:t>Ereignis:</w:t>
      </w:r>
      <w:r>
        <w:t xml:space="preserve"> Kenntnis vom groben Undank: 15.03.2026 (Sonntag)</w:t>
      </w:r>
    </w:p>
    <w:p>
      <w:pPr>
        <w:jc w:val="left"/>
      </w:pPr>
      <w:r>
        <w:rPr>
          <w:b/>
        </w:rPr>
        <w:t>§ 187 Abs. 1 BGB:</w:t>
      </w:r>
      <w:r>
        <w:t xml:space="preserve"> Null-Tag (15.03.2026) zählt nicht mit; Frist beginnt 16.03.2026</w:t>
      </w:r>
    </w:p>
    <w:p>
      <w:pPr>
        <w:jc w:val="left"/>
      </w:pPr>
      <w:r>
        <w:rPr>
          <w:b/>
        </w:rPr>
        <w:t>§ 532 BGB:</w:t>
      </w:r>
      <w:r>
        <w:t xml:space="preserve"> 1 Jahr ab Kenntnis</w:t>
      </w:r>
    </w:p>
    <w:p>
      <w:pPr>
        <w:jc w:val="left"/>
      </w:pPr>
      <w:r>
        <w:rPr>
          <w:b/>
        </w:rPr>
        <w:t>§ 188 Abs. 2 BGB:</w:t>
      </w:r>
      <w:r>
        <w:t xml:space="preserve"> Ende am 15.03.2027 (Montag — kein § 193 BGB nötig)</w:t>
      </w:r>
    </w:p>
    <w:p>
      <w:pPr>
        <w:jc w:val="left"/>
      </w:pPr>
      <w:r>
        <w:rPr>
          <w:b/>
        </w:rPr>
        <w:t>Ergebnis:</w:t>
      </w:r>
      <w:r>
        <w:t xml:space="preserve"> Widerrufsfrist läuft bis </w:t>
      </w:r>
      <w:r>
        <w:rPr>
          <w:b/>
        </w:rPr>
        <w:t>15.03.2027</w:t>
      </w:r>
      <w:r>
        <w:t>.</w:t>
      </w:r>
    </w:p>
    <w:p>
      <w:pPr>
        <w:jc w:val="left"/>
      </w:pPr>
      <w:r>
        <w:rPr>
          <w:b/>
        </w:rPr>
        <w:t>Handlungsbedarf:</w:t>
      </w:r>
      <w:r>
        <w:t xml:space="preserve"> Widerrufserklärung so früh wie möglich; Frist läuft, ggf. Anspruchssicherung durch Klage vor dem 15.03.2027.</w:t>
      </w:r>
    </w:p>
    <w:p>
      <w:pPr>
        <w:pStyle w:val="Heading3"/>
      </w:pPr>
      <w:r>
        <w:rPr>
          <w:rFonts w:ascii="Times New Roman" w:hAnsi="Times New Roman"/>
        </w:rPr>
        <w:t>Berechnung 5: Klagefrist § 12 Abs. 3 UWG (Abmahnung Gastro Excellence GmbH)</w:t>
      </w:r>
    </w:p>
    <w:p>
      <w:pPr>
        <w:jc w:val="left"/>
      </w:pPr>
      <w:r>
        <w:rPr>
          <w:b/>
        </w:rPr>
        <w:t>Ereignis:</w:t>
      </w:r>
      <w:r>
        <w:t xml:space="preserve"> Abmahnung versandt 20.04.2026; Frist in Abmahnung: 14 Tage</w:t>
      </w:r>
    </w:p>
    <w:p>
      <w:pPr>
        <w:jc w:val="left"/>
      </w:pPr>
      <w:r>
        <w:rPr>
          <w:b/>
        </w:rPr>
        <w:t>Null-Tag:</w:t>
      </w:r>
      <w:r>
        <w:t xml:space="preserve"> 20.04.2026</w:t>
      </w:r>
    </w:p>
    <w:p>
      <w:pPr>
        <w:jc w:val="left"/>
      </w:pPr>
      <w:r>
        <w:rPr>
          <w:b/>
        </w:rPr>
        <w:t>§ 187 Abs. 1 BGB:</w:t>
      </w:r>
      <w:r>
        <w:t xml:space="preserve"> Frist beginnt 21.04.2026</w:t>
      </w:r>
    </w:p>
    <w:p>
      <w:pPr>
        <w:jc w:val="left"/>
      </w:pPr>
      <w:r>
        <w:rPr>
          <w:b/>
        </w:rPr>
        <w:t>§ 188 Abs. 1 BGB:</w:t>
      </w:r>
      <w:r>
        <w:t xml:space="preserve"> 14 Tage enden am 04.05.2026 (Montag)</w:t>
      </w:r>
    </w:p>
    <w:p>
      <w:pPr>
        <w:jc w:val="left"/>
      </w:pPr>
      <w:r>
        <w:rPr>
          <w:b/>
        </w:rPr>
        <w:t>§ 193 BGB:</w:t>
      </w:r>
      <w:r>
        <w:t xml:space="preserve"> 04.05.2026 = Montag — kein Schiebung.</w:t>
      </w:r>
    </w:p>
    <w:p>
      <w:pPr>
        <w:jc w:val="left"/>
      </w:pPr>
      <w:r>
        <w:rPr>
          <w:b/>
        </w:rPr>
        <w:t>Ergebnis:</w:t>
      </w:r>
      <w:r>
        <w:t xml:space="preserve"> Antwortfrist für Gastro Excellence GmbH: </w:t>
      </w:r>
      <w:r>
        <w:rPr>
          <w:b/>
        </w:rPr>
        <w:t>04.05.2026</w:t>
      </w:r>
      <w:r>
        <w:t xml:space="preserve"> (Montag).</w:t>
      </w:r>
    </w:p>
    <w:p/>
    <w:p>
      <w:pPr>
        <w:pStyle w:val="Heading2"/>
      </w:pPr>
      <w:r>
        <w:rPr>
          <w:rFonts w:ascii="Times New Roman" w:hAnsi="Times New Roman"/>
        </w:rPr>
        <w:t>III. Zusammenfassung aller kritischen Fristen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Frist</w:t>
            </w:r>
          </w:p>
        </w:tc>
        <w:tc>
          <w:tcPr>
            <w:tcW w:type="dxa" w:w="1814"/>
          </w:tcPr>
          <w:p>
            <w:r>
              <w:rPr>
                <w:rFonts w:ascii="Times New Roman" w:hAnsi="Times New Roman"/>
                <w:b/>
                <w:sz w:val="20"/>
              </w:rPr>
              <w:t>Ereignis</w:t>
            </w:r>
          </w:p>
        </w:tc>
        <w:tc>
          <w:tcPr>
            <w:tcW w:type="dxa" w:w="1814"/>
          </w:tcPr>
          <w:p>
            <w:r>
              <w:rPr>
                <w:rFonts w:ascii="Times New Roman" w:hAnsi="Times New Roman"/>
                <w:b/>
                <w:sz w:val="20"/>
              </w:rPr>
              <w:t>Beginn</w:t>
            </w:r>
          </w:p>
        </w:tc>
        <w:tc>
          <w:tcPr>
            <w:tcW w:type="dxa" w:w="1814"/>
          </w:tcPr>
          <w:p>
            <w:r>
              <w:rPr>
                <w:rFonts w:ascii="Times New Roman" w:hAnsi="Times New Roman"/>
                <w:b/>
                <w:sz w:val="20"/>
              </w:rPr>
              <w:t>Ende</w:t>
            </w:r>
          </w:p>
        </w:tc>
        <w:tc>
          <w:tcPr>
            <w:tcW w:type="dxa" w:w="1814"/>
          </w:tcPr>
          <w:p>
            <w:r>
              <w:rPr>
                <w:rFonts w:ascii="Times New Roman" w:hAnsi="Times New Roman"/>
                <w:b/>
                <w:sz w:val="20"/>
              </w:rPr>
              <w:t>Status</w:t>
            </w:r>
          </w:p>
        </w:tc>
      </w:tr>
      <w:tr>
        <w:tc>
          <w:tcPr>
            <w:tcW w:type="dxa" w:w="1814"/>
          </w:tcPr>
          <w:p>
            <w:r>
              <w:rPr>
                <w:rFonts w:ascii="Times New Roman" w:hAnsi="Times New Roman"/>
                <w:sz w:val="20"/>
              </w:rPr>
              <w:t>§ 121 BGB Anfechtung</w:t>
            </w:r>
          </w:p>
        </w:tc>
        <w:tc>
          <w:tcPr>
            <w:tcW w:type="dxa" w:w="1814"/>
          </w:tcPr>
          <w:p>
            <w:r>
              <w:rPr>
                <w:rFonts w:ascii="Times New Roman" w:hAnsi="Times New Roman"/>
                <w:sz w:val="20"/>
              </w:rPr>
              <w:t>Kenntnis 10.02.2026</w:t>
            </w:r>
          </w:p>
        </w:tc>
        <w:tc>
          <w:tcPr>
            <w:tcW w:type="dxa" w:w="1814"/>
          </w:tcPr>
          <w:p>
            <w:r>
              <w:rPr>
                <w:rFonts w:ascii="Times New Roman" w:hAnsi="Times New Roman"/>
                <w:sz w:val="20"/>
              </w:rPr>
              <w:t>—</w:t>
            </w:r>
          </w:p>
        </w:tc>
        <w:tc>
          <w:tcPr>
            <w:tcW w:type="dxa" w:w="1814"/>
          </w:tcPr>
          <w:p>
            <w:r>
              <w:rPr>
                <w:rFonts w:ascii="Times New Roman" w:hAnsi="Times New Roman"/>
                <w:sz w:val="20"/>
              </w:rPr>
              <w:t>(unverzüglich)</w:t>
            </w:r>
          </w:p>
        </w:tc>
        <w:tc>
          <w:tcPr>
            <w:tcW w:type="dxa" w:w="1814"/>
          </w:tcPr>
          <w:p>
            <w:r>
              <w:rPr>
                <w:rFonts w:ascii="Times New Roman" w:hAnsi="Times New Roman"/>
                <w:sz w:val="20"/>
              </w:rPr>
              <w:t>Zugang 20.03.2026 ✓</w:t>
            </w:r>
          </w:p>
        </w:tc>
      </w:tr>
      <w:tr>
        <w:tc>
          <w:tcPr>
            <w:tcW w:type="dxa" w:w="1814"/>
          </w:tcPr>
          <w:p>
            <w:r>
              <w:rPr>
                <w:rFonts w:ascii="Times New Roman" w:hAnsi="Times New Roman"/>
                <w:sz w:val="20"/>
              </w:rPr>
              <w:t>§ 532 BGB Schenkungswiderruf</w:t>
            </w:r>
          </w:p>
        </w:tc>
        <w:tc>
          <w:tcPr>
            <w:tcW w:type="dxa" w:w="1814"/>
          </w:tcPr>
          <w:p>
            <w:r>
              <w:rPr>
                <w:rFonts w:ascii="Times New Roman" w:hAnsi="Times New Roman"/>
                <w:sz w:val="20"/>
              </w:rPr>
              <w:t>Kenntnis 15.03.2026</w:t>
            </w:r>
          </w:p>
        </w:tc>
        <w:tc>
          <w:tcPr>
            <w:tcW w:type="dxa" w:w="1814"/>
          </w:tcPr>
          <w:p>
            <w:r>
              <w:rPr>
                <w:rFonts w:ascii="Times New Roman" w:hAnsi="Times New Roman"/>
                <w:sz w:val="20"/>
              </w:rPr>
              <w:t>16.03.2026</w:t>
            </w:r>
          </w:p>
        </w:tc>
        <w:tc>
          <w:tcPr>
            <w:tcW w:type="dxa" w:w="1814"/>
          </w:tcPr>
          <w:p>
            <w:r>
              <w:rPr>
                <w:rFonts w:ascii="Times New Roman" w:hAnsi="Times New Roman"/>
                <w:sz w:val="20"/>
              </w:rPr>
              <w:t>15.03.2027</w:t>
            </w:r>
          </w:p>
        </w:tc>
        <w:tc>
          <w:tcPr>
            <w:tcW w:type="dxa" w:w="1814"/>
          </w:tcPr>
          <w:p>
            <w:r>
              <w:rPr>
                <w:rFonts w:ascii="Times New Roman" w:hAnsi="Times New Roman"/>
                <w:sz w:val="20"/>
              </w:rPr>
              <w:t>Laufend — erklären!</w:t>
            </w:r>
          </w:p>
        </w:tc>
      </w:tr>
      <w:tr>
        <w:tc>
          <w:tcPr>
            <w:tcW w:type="dxa" w:w="1814"/>
          </w:tcPr>
          <w:p>
            <w:r>
              <w:rPr>
                <w:rFonts w:ascii="Times New Roman" w:hAnsi="Times New Roman"/>
                <w:sz w:val="20"/>
              </w:rPr>
              <w:t>§ 195 BGB Convotherm Restkaufpreis</w:t>
            </w:r>
          </w:p>
        </w:tc>
        <w:tc>
          <w:tcPr>
            <w:tcW w:type="dxa" w:w="1814"/>
          </w:tcPr>
          <w:p>
            <w:r>
              <w:rPr>
                <w:rFonts w:ascii="Times New Roman" w:hAnsi="Times New Roman"/>
                <w:sz w:val="20"/>
              </w:rPr>
              <w:t>Entstehung 01.12.2025</w:t>
            </w:r>
          </w:p>
        </w:tc>
        <w:tc>
          <w:tcPr>
            <w:tcW w:type="dxa" w:w="1814"/>
          </w:tcPr>
          <w:p>
            <w:r>
              <w:rPr>
                <w:rFonts w:ascii="Times New Roman" w:hAnsi="Times New Roman"/>
                <w:sz w:val="20"/>
              </w:rPr>
              <w:t>31.12.2025</w:t>
            </w:r>
          </w:p>
        </w:tc>
        <w:tc>
          <w:tcPr>
            <w:tcW w:type="dxa" w:w="1814"/>
          </w:tcPr>
          <w:p>
            <w:r>
              <w:rPr>
                <w:rFonts w:ascii="Times New Roman" w:hAnsi="Times New Roman"/>
                <w:sz w:val="20"/>
              </w:rPr>
              <w:t>31.12.2028</w:t>
            </w:r>
          </w:p>
        </w:tc>
        <w:tc>
          <w:tcPr>
            <w:tcW w:type="dxa" w:w="1814"/>
          </w:tcPr>
          <w:p>
            <w:r>
              <w:rPr>
                <w:rFonts w:ascii="Times New Roman" w:hAnsi="Times New Roman"/>
                <w:sz w:val="20"/>
              </w:rPr>
              <w:t>Hemmung OLG aktiv</w:t>
            </w:r>
          </w:p>
        </w:tc>
      </w:tr>
      <w:tr>
        <w:tc>
          <w:tcPr>
            <w:tcW w:type="dxa" w:w="1814"/>
          </w:tcPr>
          <w:p>
            <w:r>
              <w:rPr>
                <w:rFonts w:ascii="Times New Roman" w:hAnsi="Times New Roman"/>
                <w:sz w:val="20"/>
              </w:rPr>
              <w:t>§ 195 BGB SE Convotherm Öfen</w:t>
            </w:r>
          </w:p>
        </w:tc>
        <w:tc>
          <w:tcPr>
            <w:tcW w:type="dxa" w:w="1814"/>
          </w:tcPr>
          <w:p>
            <w:r>
              <w:rPr>
                <w:rFonts w:ascii="Times New Roman" w:hAnsi="Times New Roman"/>
                <w:sz w:val="20"/>
              </w:rPr>
              <w:t>Entstehung Feb. 2026</w:t>
            </w:r>
          </w:p>
        </w:tc>
        <w:tc>
          <w:tcPr>
            <w:tcW w:type="dxa" w:w="1814"/>
          </w:tcPr>
          <w:p>
            <w:r>
              <w:rPr>
                <w:rFonts w:ascii="Times New Roman" w:hAnsi="Times New Roman"/>
                <w:sz w:val="20"/>
              </w:rPr>
              <w:t>31.12.2026</w:t>
            </w:r>
          </w:p>
        </w:tc>
        <w:tc>
          <w:tcPr>
            <w:tcW w:type="dxa" w:w="1814"/>
          </w:tcPr>
          <w:p>
            <w:r>
              <w:rPr>
                <w:rFonts w:ascii="Times New Roman" w:hAnsi="Times New Roman"/>
                <w:sz w:val="20"/>
              </w:rPr>
              <w:t>31.12.2029</w:t>
            </w:r>
          </w:p>
        </w:tc>
        <w:tc>
          <w:tcPr>
            <w:tcW w:type="dxa" w:w="1814"/>
          </w:tcPr>
          <w:p>
            <w:r>
              <w:rPr>
                <w:rFonts w:ascii="Times New Roman" w:hAnsi="Times New Roman"/>
                <w:sz w:val="20"/>
              </w:rPr>
              <w:t>Hemmung aktiv</w:t>
            </w:r>
          </w:p>
        </w:tc>
      </w:tr>
      <w:tr>
        <w:tc>
          <w:tcPr>
            <w:tcW w:type="dxa" w:w="1814"/>
          </w:tcPr>
          <w:p>
            <w:r>
              <w:rPr>
                <w:rFonts w:ascii="Times New Roman" w:hAnsi="Times New Roman"/>
                <w:sz w:val="20"/>
              </w:rPr>
              <w:t>§ 355 AO Einspruch Steuerbescheid</w:t>
            </w:r>
          </w:p>
        </w:tc>
        <w:tc>
          <w:tcPr>
            <w:tcW w:type="dxa" w:w="1814"/>
          </w:tcPr>
          <w:p>
            <w:r>
              <w:rPr>
                <w:rFonts w:ascii="Times New Roman" w:hAnsi="Times New Roman"/>
                <w:sz w:val="20"/>
              </w:rPr>
              <w:t>Bekanntgabe 30.03.2026</w:t>
            </w:r>
          </w:p>
        </w:tc>
        <w:tc>
          <w:tcPr>
            <w:tcW w:type="dxa" w:w="1814"/>
          </w:tcPr>
          <w:p>
            <w:r>
              <w:rPr>
                <w:rFonts w:ascii="Times New Roman" w:hAnsi="Times New Roman"/>
                <w:sz w:val="20"/>
              </w:rPr>
              <w:t>31.03.2026</w:t>
            </w:r>
          </w:p>
        </w:tc>
        <w:tc>
          <w:tcPr>
            <w:tcW w:type="dxa" w:w="1814"/>
          </w:tcPr>
          <w:p>
            <w:r>
              <w:rPr>
                <w:rFonts w:ascii="Times New Roman" w:hAnsi="Times New Roman"/>
                <w:sz w:val="20"/>
              </w:rPr>
              <w:t>30.04.2026</w:t>
            </w:r>
          </w:p>
        </w:tc>
        <w:tc>
          <w:tcPr>
            <w:tcW w:type="dxa" w:w="1814"/>
          </w:tcPr>
          <w:p>
            <w:r>
              <w:rPr>
                <w:rFonts w:ascii="Times New Roman" w:hAnsi="Times New Roman"/>
                <w:sz w:val="20"/>
              </w:rPr>
              <w:t>Eingelegt 25.04. ✓</w:t>
            </w:r>
          </w:p>
        </w:tc>
      </w:tr>
      <w:tr>
        <w:tc>
          <w:tcPr>
            <w:tcW w:type="dxa" w:w="1814"/>
          </w:tcPr>
          <w:p>
            <w:r>
              <w:rPr>
                <w:rFonts w:ascii="Times New Roman" w:hAnsi="Times New Roman"/>
                <w:sz w:val="20"/>
              </w:rPr>
              <w:t>§ 12 UWG Reaktionsfrist Abmahnung</w:t>
            </w:r>
          </w:p>
        </w:tc>
        <w:tc>
          <w:tcPr>
            <w:tcW w:type="dxa" w:w="1814"/>
          </w:tcPr>
          <w:p>
            <w:r>
              <w:rPr>
                <w:rFonts w:ascii="Times New Roman" w:hAnsi="Times New Roman"/>
                <w:sz w:val="20"/>
              </w:rPr>
              <w:t>Abmahnung 20.04.2026</w:t>
            </w:r>
          </w:p>
        </w:tc>
        <w:tc>
          <w:tcPr>
            <w:tcW w:type="dxa" w:w="1814"/>
          </w:tcPr>
          <w:p>
            <w:r>
              <w:rPr>
                <w:rFonts w:ascii="Times New Roman" w:hAnsi="Times New Roman"/>
                <w:sz w:val="20"/>
              </w:rPr>
              <w:t>21.04.2026</w:t>
            </w:r>
          </w:p>
        </w:tc>
        <w:tc>
          <w:tcPr>
            <w:tcW w:type="dxa" w:w="1814"/>
          </w:tcPr>
          <w:p>
            <w:r>
              <w:rPr>
                <w:rFonts w:ascii="Times New Roman" w:hAnsi="Times New Roman"/>
                <w:sz w:val="20"/>
              </w:rPr>
              <w:t>04.05.2026</w:t>
            </w:r>
          </w:p>
        </w:tc>
        <w:tc>
          <w:tcPr>
            <w:tcW w:type="dxa" w:w="1814"/>
          </w:tcPr>
          <w:p>
            <w:r>
              <w:rPr>
                <w:rFonts w:ascii="Times New Roman" w:hAnsi="Times New Roman"/>
                <w:sz w:val="20"/>
              </w:rPr>
              <w:t>Abgelaufen</w:t>
            </w:r>
          </w:p>
        </w:tc>
      </w:tr>
    </w:tbl>
    <w:p/>
    <w:p>
      <w:pPr>
        <w:pStyle w:val="Heading2"/>
      </w:pPr>
      <w:r>
        <w:rPr>
          <w:rFonts w:ascii="Times New Roman" w:hAnsi="Times New Roman"/>
        </w:rPr>
        <w:t>IV. Klausur-Merkhilfe Fristberechnung</w:t>
      </w:r>
    </w:p>
    <w:p>
      <w:pPr>
        <w:jc w:val="left"/>
      </w:pPr>
      <w:r>
        <w:t>```</w:t>
      </w:r>
    </w:p>
    <w:p>
      <w:pPr>
        <w:jc w:val="left"/>
      </w:pPr>
      <w:r>
        <w:t>SCHRITT 1: Fristbeginn</w:t>
      </w:r>
    </w:p>
    <w:p>
      <w:pPr>
        <w:jc w:val="left"/>
      </w:pPr>
      <w:r>
        <w:t>→ Ereignistag (Null-Tag) zählt NICHT mit (§ 187 I BGB)</w:t>
      </w:r>
    </w:p>
    <w:p>
      <w:pPr>
        <w:jc w:val="left"/>
      </w:pPr>
      <w:r>
        <w:t>→ Frist beginnt am FOLGENDEN Tag</w:t>
      </w:r>
    </w:p>
    <w:p>
      <w:pPr>
        <w:jc w:val="left"/>
      </w:pPr>
      <w:r>
        <w:t>SCHRITT 2: Fristende berechnen</w:t>
      </w:r>
    </w:p>
    <w:p>
      <w:pPr>
        <w:jc w:val="left"/>
      </w:pPr>
      <w:r>
        <w:t>→ Tagesfrist: letzter Tag der Frist (§ 188 I BGB)</w:t>
      </w:r>
    </w:p>
    <w:p>
      <w:pPr>
        <w:jc w:val="left"/>
      </w:pPr>
      <w:r>
        <w:t>→ Wochenfrist: gleicher Wochentag in der letzten Woche (§ 188 II BGB)</w:t>
      </w:r>
    </w:p>
    <w:p>
      <w:pPr>
        <w:jc w:val="left"/>
      </w:pPr>
      <w:r>
        <w:t>→ Monatsfrist: gleicher Monatstag im letzten Monat (§ 188 II BGB)</w:t>
      </w:r>
    </w:p>
    <w:p>
      <w:pPr>
        <w:jc w:val="left"/>
      </w:pPr>
      <w:r>
        <w:t>→ Jahresfrist: gleicher Kalendertag im letzten Jahr</w:t>
      </w:r>
    </w:p>
    <w:p>
      <w:pPr>
        <w:jc w:val="left"/>
      </w:pPr>
      <w:r>
        <w:t>SCHRITT 3: § 193 BGB prüfen</w:t>
      </w:r>
    </w:p>
    <w:p>
      <w:pPr>
        <w:jc w:val="left"/>
      </w:pPr>
      <w:r>
        <w:t>→ Fällt das Ende auf Sa/So/Feiertag?</w:t>
      </w:r>
    </w:p>
    <w:p>
      <w:pPr>
        <w:jc w:val="left"/>
      </w:pPr>
      <w:r>
        <w:t>→ Dann: nächster Werktag</w:t>
      </w:r>
    </w:p>
    <w:p>
      <w:pPr>
        <w:jc w:val="left"/>
      </w:pPr>
      <w:r>
        <w:t>SCHRITT 4: Verjährungsfristen (§§ 195, 199 BGB)</w:t>
      </w:r>
    </w:p>
    <w:p>
      <w:pPr>
        <w:jc w:val="left"/>
      </w:pPr>
      <w:r>
        <w:t>→ Stichtagsprinzip: immer 31.12. des Jahres, in dem Anspruch entstand + Kenntnis</w:t>
      </w:r>
    </w:p>
    <w:p>
      <w:pPr>
        <w:jc w:val="left"/>
      </w:pPr>
      <w:r>
        <w:t>→ Dann + Regelfrist (§ 195 = 3 Jahre; §§ 196, 197 Sonderfristen)</w:t>
      </w:r>
    </w:p>
    <w:p>
      <w:pPr>
        <w:jc w:val="left"/>
      </w:pPr>
      <w:r>
        <w:t>```</w:t>
      </w:r>
    </w:p>
    <w:p>
      <w:pPr>
        <w:jc w:val="left"/>
      </w:pPr>
      <w:r>
        <w:rPr>
          <w:b/>
        </w:rPr>
        <w:t>Quellen:</w:t>
      </w:r>
    </w:p>
    <w:p>
      <w:pPr>
        <w:jc w:val="left"/>
      </w:pPr>
      <w:r>
        <w:t>§§ 186–193 BGB: https://dejure.org/gesetze/BGB/186.html</w:t>
      </w:r>
    </w:p>
    <w:p>
      <w:pPr>
        <w:jc w:val="left"/>
      </w:pPr>
      <w:r>
        <w:t>§§ 195, 199 BGB: https://dejure.org/gesetze/BGB/195.html</w:t>
      </w:r>
    </w:p>
    <w:p>
      <w:pPr>
        <w:jc w:val="left"/>
      </w:pPr>
      <w:r>
        <w:t>§ 355 AO: https://dejure.org/gesetze/AO/355.html</w:t>
      </w:r>
    </w:p>
    <w:p>
      <w:pPr>
        <w:jc w:val="left"/>
      </w:pPr>
      <w:r>
        <w:t>BGH NJW 2019, 1302 (Fristberechnung Monatsfrist §§ 187 ff. BGB): https://www.bundesgerichtshof.de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„Für die in Gesetzen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„Für die in Gesetzen</w:t>
    </w:r>
  </w:p>
  <w:p>
    <w:pPr>
      <w:jc w:val="left"/>
      <w:pBdr>
        <w:bottom w:val="single" w:sz="6" w:space="2" w:color="3B3F45"/>
      </w:pBdr>
    </w:pPr>
    <w:r>
      <w:rPr>
        <w:rFonts w:ascii="Times New Roman" w:hAnsi="Times New Roman"/>
        <w:color w:val="6B6B66"/>
        <w:sz w:val="16"/>
      </w:rPr>
      <w:t>gerichtlichen Verfügungen und Rechtsgeschäften enthaltenen Fristen und Termine gelten die Auslegungsregeln der §§ 187 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