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02 Beteiligte und Verfahrensübersicht</w:t>
      </w:r>
    </w:p>
    <w:p>
      <w:pPr>
        <w:jc w:val="left"/>
      </w:pPr>
      <w:r>
        <w:t>Datum: 15. Januar 2026</w:t>
      </w:r>
    </w:p>
    <w:p>
      <w:pPr>
        <w:jc w:val="left"/>
      </w:pPr>
      <w:r>
        <w:t>Bearbeiter: Wiss. Mitarbeiterin Lea Stang (unter Aufsicht RA Dr. Söhnchen)</w:t>
      </w:r>
    </w:p>
    <w:p>
      <w:pPr>
        <w:jc w:val="left"/>
      </w:pPr>
      <w:r>
        <w:t>Kanzlei: Söhnchen &amp; Partner Rechtsanwälte mbB, Aachen</w:t>
      </w:r>
    </w:p>
    <w:p/>
    <w:p>
      <w:pPr>
        <w:pStyle w:val="Heading2"/>
      </w:pPr>
      <w:r>
        <w:rPr>
          <w:rFonts w:ascii="Times New Roman" w:hAnsi="Times New Roman"/>
        </w:rPr>
        <w:t>A. Parteien</w:t>
      </w:r>
    </w:p>
    <w:p>
      <w:pPr>
        <w:pStyle w:val="Heading3"/>
      </w:pPr>
      <w:r>
        <w:rPr>
          <w:rFonts w:ascii="Times New Roman" w:hAnsi="Times New Roman"/>
        </w:rPr>
        <w:t>Mandant (Kläger / Widerbeklagter / Schiedskläger)</w:t>
      </w:r>
    </w:p>
    <w:p>
      <w:pPr>
        <w:jc w:val="left"/>
      </w:pPr>
      <w:r>
        <w:rPr>
          <w:b/>
        </w:rPr>
        <w:t>Werkmann Bau- und Anlagentechnik GmbH</w:t>
      </w:r>
    </w:p>
    <w:p>
      <w:pPr>
        <w:jc w:val="left"/>
      </w:pPr>
      <w:r>
        <w:t>Industriestraße 44, 52499 Baesweiler</w:t>
      </w:r>
    </w:p>
    <w:p>
      <w:pPr>
        <w:jc w:val="left"/>
      </w:pPr>
      <w:r>
        <w:t>Handelsregister: HRB 8812, Amtsgericht Aachen</w:t>
      </w:r>
    </w:p>
    <w:p>
      <w:pPr>
        <w:jc w:val="left"/>
      </w:pPr>
      <w:r>
        <w:t>Geschäftsführer: Dipl.-Ing. Rainer Werkmann (alleinvertretungsberechtigt), Dipl.-Kfm. Petra Werkmann-Hölscher (gemeinsam vertretungsberechtigt)</w:t>
      </w:r>
    </w:p>
    <w:p>
      <w:pPr>
        <w:jc w:val="left"/>
      </w:pPr>
      <w:r>
        <w:t>Umsatz (2024): ca. 28 Mio. EUR</w:t>
      </w:r>
    </w:p>
    <w:p>
      <w:pPr>
        <w:jc w:val="left"/>
      </w:pPr>
      <w:r>
        <w:t>Mitarbeiter: 87 (davon ca. 60 gewerblich)</w:t>
      </w:r>
    </w:p>
    <w:p>
      <w:pPr>
        <w:jc w:val="left"/>
      </w:pPr>
      <w:r>
        <w:t>Steuernummer: 201/5678/0123 (FA Aachen-Stadt)</w:t>
      </w:r>
    </w:p>
    <w:p>
      <w:pPr>
        <w:jc w:val="left"/>
      </w:pPr>
      <w:r>
        <w:t>USt-IdNr.: DE 288 741 223</w:t>
      </w:r>
    </w:p>
    <w:p>
      <w:pPr>
        <w:jc w:val="left"/>
      </w:pPr>
      <w:r>
        <w:t>Kundennummer intern: WBT-2024-047</w:t>
      </w:r>
    </w:p>
    <w:p>
      <w:pPr>
        <w:jc w:val="left"/>
      </w:pPr>
      <w:r>
        <w:t>Bevollmächtigter Anwalt: RA Dr. Bertram Söhnchen LL.M., Söhnchen &amp; Partner Rechtsanwälte mbB</w:t>
      </w:r>
    </w:p>
    <w:p>
      <w:pPr>
        <w:pStyle w:val="Heading3"/>
      </w:pPr>
      <w:r>
        <w:rPr>
          <w:rFonts w:ascii="Times New Roman" w:hAnsi="Times New Roman"/>
        </w:rPr>
        <w:t>Gegner (Beklagte / Berufungsklägerin / Schiedsbeklagte)</w:t>
      </w:r>
    </w:p>
    <w:p>
      <w:pPr>
        <w:jc w:val="left"/>
      </w:pPr>
      <w:r>
        <w:rPr>
          <w:b/>
        </w:rPr>
        <w:t>K+B Industriebau AG</w:t>
      </w:r>
    </w:p>
    <w:p>
      <w:pPr>
        <w:jc w:val="left"/>
      </w:pPr>
      <w:r>
        <w:t>Roermonder Straße 155, 52072 Aachen</w:t>
      </w:r>
    </w:p>
    <w:p>
      <w:pPr>
        <w:jc w:val="left"/>
      </w:pPr>
      <w:r>
        <w:t>Handelsregister: HRB 14422, Amtsgericht Aachen</w:t>
      </w:r>
    </w:p>
    <w:p>
      <w:pPr>
        <w:jc w:val="left"/>
      </w:pPr>
      <w:r>
        <w:t>Vorstand: Dipl.-Ing. Matthias Kroeger (Vorsitzender), Dipl.-Kfm. Heidrun Baumgartner (Finanzvorstand)</w:t>
      </w:r>
    </w:p>
    <w:p>
      <w:pPr>
        <w:jc w:val="left"/>
      </w:pPr>
      <w:r>
        <w:t>Umsatz (2024): ca. 210 Mio. EUR (laut Geschäftsbericht)</w:t>
      </w:r>
    </w:p>
    <w:p>
      <w:pPr>
        <w:jc w:val="left"/>
      </w:pPr>
      <w:r>
        <w:t>Bevollmächtigte Anwälte (LG Aachen): RA Dr. Günter Kessling, Kessling Bau + Recht, Friedrich-Wilhelm-Platz 4, 52062 Aachen</w:t>
      </w:r>
    </w:p>
    <w:p>
      <w:pPr>
        <w:pStyle w:val="Heading3"/>
      </w:pPr>
      <w:r>
        <w:rPr>
          <w:rFonts w:ascii="Times New Roman" w:hAnsi="Times New Roman"/>
        </w:rPr>
        <w:t>Bauherr (Zeuge, nicht Partei)</w:t>
      </w:r>
    </w:p>
    <w:p>
      <w:pPr>
        <w:jc w:val="left"/>
      </w:pPr>
      <w:r>
        <w:rPr>
          <w:b/>
        </w:rPr>
        <w:t>Autoform GmbH &amp; Co. KG</w:t>
      </w:r>
    </w:p>
    <w:p>
      <w:pPr>
        <w:jc w:val="left"/>
      </w:pPr>
      <w:r>
        <w:t>Nothberg 55, 52249 Eschweiler</w:t>
      </w:r>
    </w:p>
    <w:p>
      <w:pPr>
        <w:jc w:val="left"/>
      </w:pPr>
      <w:r>
        <w:t>Vertreten durch: Werkleiter Dr.-Ing. Stefan Pauls</w:t>
      </w:r>
    </w:p>
    <w:p>
      <w:pPr>
        <w:jc w:val="left"/>
      </w:pPr>
      <w:r>
        <w:t>Funktion im Verfahren: Zeuge für Leistungsstand und Abnahmesituation; Zedent der Zusatzvergütungsansprüche im Innenverhältnis K+B — Werkmann</w:t>
      </w:r>
    </w:p>
    <w:p/>
    <w:p>
      <w:pPr>
        <w:pStyle w:val="Heading2"/>
      </w:pPr>
      <w:r>
        <w:rPr>
          <w:rFonts w:ascii="Times New Roman" w:hAnsi="Times New Roman"/>
        </w:rPr>
        <w:t>B. Verfahrensübersicht</w:t>
      </w:r>
    </w:p>
    <w:p>
      <w:pPr>
        <w:pStyle w:val="Heading3"/>
      </w:pPr>
      <w:r>
        <w:rPr>
          <w:rFonts w:ascii="Times New Roman" w:hAnsi="Times New Roman"/>
        </w:rPr>
        <w:t>Verfahren 1: LG Aachen 11 O 188/26 (Hauptverfahren)</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Merkmal</w:t>
            </w:r>
          </w:p>
        </w:tc>
        <w:tc>
          <w:tcPr>
            <w:tcW w:type="dxa" w:w="4536"/>
          </w:tcPr>
          <w:p>
            <w:r>
              <w:rPr>
                <w:rFonts w:ascii="Times New Roman" w:hAnsi="Times New Roman"/>
                <w:b/>
                <w:sz w:val="20"/>
              </w:rPr>
              <w:t>Inhalt</w:t>
            </w:r>
          </w:p>
        </w:tc>
      </w:tr>
      <w:tr>
        <w:tc>
          <w:tcPr>
            <w:tcW w:type="dxa" w:w="4536"/>
          </w:tcPr>
          <w:p>
            <w:r>
              <w:rPr>
                <w:rFonts w:ascii="Times New Roman" w:hAnsi="Times New Roman"/>
                <w:sz w:val="20"/>
              </w:rPr>
              <w:t>Gericht</w:t>
            </w:r>
          </w:p>
        </w:tc>
        <w:tc>
          <w:tcPr>
            <w:tcW w:type="dxa" w:w="4536"/>
          </w:tcPr>
          <w:p>
            <w:r>
              <w:rPr>
                <w:rFonts w:ascii="Times New Roman" w:hAnsi="Times New Roman"/>
                <w:sz w:val="20"/>
              </w:rPr>
              <w:t>Landgericht Aachen, 11. Zivilkammer (Kammer für Bausachen)</w:t>
            </w:r>
          </w:p>
        </w:tc>
      </w:tr>
      <w:tr>
        <w:tc>
          <w:tcPr>
            <w:tcW w:type="dxa" w:w="4536"/>
          </w:tcPr>
          <w:p>
            <w:r>
              <w:rPr>
                <w:rFonts w:ascii="Times New Roman" w:hAnsi="Times New Roman"/>
                <w:sz w:val="20"/>
              </w:rPr>
              <w:t>Aktenzeichen</w:t>
            </w:r>
          </w:p>
        </w:tc>
        <w:tc>
          <w:tcPr>
            <w:tcW w:type="dxa" w:w="4536"/>
          </w:tcPr>
          <w:p>
            <w:r>
              <w:rPr>
                <w:rFonts w:ascii="Times New Roman" w:hAnsi="Times New Roman"/>
                <w:sz w:val="20"/>
              </w:rPr>
              <w:t>11 O 188/26</w:t>
            </w:r>
          </w:p>
        </w:tc>
      </w:tr>
      <w:tr>
        <w:tc>
          <w:tcPr>
            <w:tcW w:type="dxa" w:w="4536"/>
          </w:tcPr>
          <w:p>
            <w:r>
              <w:rPr>
                <w:rFonts w:ascii="Times New Roman" w:hAnsi="Times New Roman"/>
                <w:sz w:val="20"/>
              </w:rPr>
              <w:t>Verfahrensart</w:t>
            </w:r>
          </w:p>
        </w:tc>
        <w:tc>
          <w:tcPr>
            <w:tcW w:type="dxa" w:w="4536"/>
          </w:tcPr>
          <w:p>
            <w:r>
              <w:rPr>
                <w:rFonts w:ascii="Times New Roman" w:hAnsi="Times New Roman"/>
                <w:sz w:val="20"/>
              </w:rPr>
              <w:t>Klageverfahren auf Zahlung (§ 631 BGB, § 2 VOB/B, § 8 VOB/B)</w:t>
            </w:r>
          </w:p>
        </w:tc>
      </w:tr>
      <w:tr>
        <w:tc>
          <w:tcPr>
            <w:tcW w:type="dxa" w:w="4536"/>
          </w:tcPr>
          <w:p>
            <w:r>
              <w:rPr>
                <w:rFonts w:ascii="Times New Roman" w:hAnsi="Times New Roman"/>
                <w:sz w:val="20"/>
              </w:rPr>
              <w:t>Streitwert</w:t>
            </w:r>
          </w:p>
        </w:tc>
        <w:tc>
          <w:tcPr>
            <w:tcW w:type="dxa" w:w="4536"/>
          </w:tcPr>
          <w:p>
            <w:r>
              <w:rPr>
                <w:rFonts w:ascii="Times New Roman" w:hAnsi="Times New Roman"/>
                <w:sz w:val="20"/>
              </w:rPr>
              <w:t>2.400.000 EUR (zzgl. Zinsen und Nebenkosten, vorläufig)</w:t>
            </w:r>
          </w:p>
        </w:tc>
      </w:tr>
      <w:tr>
        <w:tc>
          <w:tcPr>
            <w:tcW w:type="dxa" w:w="4536"/>
          </w:tcPr>
          <w:p>
            <w:r>
              <w:rPr>
                <w:rFonts w:ascii="Times New Roman" w:hAnsi="Times New Roman"/>
                <w:sz w:val="20"/>
              </w:rPr>
              <w:t>Kläger</w:t>
            </w:r>
          </w:p>
        </w:tc>
        <w:tc>
          <w:tcPr>
            <w:tcW w:type="dxa" w:w="4536"/>
          </w:tcPr>
          <w:p>
            <w:r>
              <w:rPr>
                <w:rFonts w:ascii="Times New Roman" w:hAnsi="Times New Roman"/>
                <w:sz w:val="20"/>
              </w:rPr>
              <w:t>Werkmann Bau- und Anlagentechnik GmbH</w:t>
            </w:r>
          </w:p>
        </w:tc>
      </w:tr>
      <w:tr>
        <w:tc>
          <w:tcPr>
            <w:tcW w:type="dxa" w:w="4536"/>
          </w:tcPr>
          <w:p>
            <w:r>
              <w:rPr>
                <w:rFonts w:ascii="Times New Roman" w:hAnsi="Times New Roman"/>
                <w:sz w:val="20"/>
              </w:rPr>
              <w:t>Beklagte</w:t>
            </w:r>
          </w:p>
        </w:tc>
        <w:tc>
          <w:tcPr>
            <w:tcW w:type="dxa" w:w="4536"/>
          </w:tcPr>
          <w:p>
            <w:r>
              <w:rPr>
                <w:rFonts w:ascii="Times New Roman" w:hAnsi="Times New Roman"/>
                <w:sz w:val="20"/>
              </w:rPr>
              <w:t>K+B Industriebau AG</w:t>
            </w:r>
          </w:p>
        </w:tc>
      </w:tr>
      <w:tr>
        <w:tc>
          <w:tcPr>
            <w:tcW w:type="dxa" w:w="4536"/>
          </w:tcPr>
          <w:p>
            <w:r>
              <w:rPr>
                <w:rFonts w:ascii="Times New Roman" w:hAnsi="Times New Roman"/>
                <w:sz w:val="20"/>
              </w:rPr>
              <w:t>Eingangsdatum Klage</w:t>
            </w:r>
          </w:p>
        </w:tc>
        <w:tc>
          <w:tcPr>
            <w:tcW w:type="dxa" w:w="4536"/>
          </w:tcPr>
          <w:p>
            <w:r>
              <w:rPr>
                <w:rFonts w:ascii="Times New Roman" w:hAnsi="Times New Roman"/>
                <w:sz w:val="20"/>
              </w:rPr>
              <w:t>21. Januar 2026 (geplant)</w:t>
            </w:r>
          </w:p>
        </w:tc>
      </w:tr>
      <w:tr>
        <w:tc>
          <w:tcPr>
            <w:tcW w:type="dxa" w:w="4536"/>
          </w:tcPr>
          <w:p>
            <w:r>
              <w:rPr>
                <w:rFonts w:ascii="Times New Roman" w:hAnsi="Times New Roman"/>
                <w:sz w:val="20"/>
              </w:rPr>
              <w:t>Vorsitzender Richter</w:t>
            </w:r>
          </w:p>
        </w:tc>
        <w:tc>
          <w:tcPr>
            <w:tcW w:type="dxa" w:w="4536"/>
          </w:tcPr>
          <w:p>
            <w:r>
              <w:rPr>
                <w:rFonts w:ascii="Times New Roman" w:hAnsi="Times New Roman"/>
                <w:sz w:val="20"/>
              </w:rPr>
              <w:t>VRiLG Dr. Hans-Walter Hermanns (lt. Geschäftsverteilungsplan)</w:t>
            </w:r>
          </w:p>
        </w:tc>
      </w:tr>
      <w:tr>
        <w:tc>
          <w:tcPr>
            <w:tcW w:type="dxa" w:w="4536"/>
          </w:tcPr>
          <w:p>
            <w:r>
              <w:rPr>
                <w:rFonts w:ascii="Times New Roman" w:hAnsi="Times New Roman"/>
                <w:sz w:val="20"/>
              </w:rPr>
              <w:t>Beisitzer</w:t>
            </w:r>
          </w:p>
        </w:tc>
        <w:tc>
          <w:tcPr>
            <w:tcW w:type="dxa" w:w="4536"/>
          </w:tcPr>
          <w:p>
            <w:r>
              <w:rPr>
                <w:rFonts w:ascii="Times New Roman" w:hAnsi="Times New Roman"/>
                <w:sz w:val="20"/>
              </w:rPr>
              <w:t>RiLG Dr. Anke Pfeiffer, RiLG Thorsten Vomberg</w:t>
            </w:r>
          </w:p>
        </w:tc>
      </w:tr>
      <w:tr>
        <w:tc>
          <w:tcPr>
            <w:tcW w:type="dxa" w:w="4536"/>
          </w:tcPr>
          <w:p>
            <w:r>
              <w:rPr>
                <w:rFonts w:ascii="Times New Roman" w:hAnsi="Times New Roman"/>
                <w:sz w:val="20"/>
              </w:rPr>
              <w:t>Zuständige Geschäftsstelle</w:t>
            </w:r>
          </w:p>
        </w:tc>
        <w:tc>
          <w:tcPr>
            <w:tcW w:type="dxa" w:w="4536"/>
          </w:tcPr>
          <w:p>
            <w:r>
              <w:rPr>
                <w:rFonts w:ascii="Times New Roman" w:hAnsi="Times New Roman"/>
                <w:sz w:val="20"/>
              </w:rPr>
              <w:t>Zimmer 312, Ansprechpartnerin: Frau Knoops</w:t>
            </w:r>
          </w:p>
        </w:tc>
      </w:tr>
      <w:tr>
        <w:tc>
          <w:tcPr>
            <w:tcW w:type="dxa" w:w="4536"/>
          </w:tcPr>
          <w:p>
            <w:r>
              <w:rPr>
                <w:rFonts w:ascii="Times New Roman" w:hAnsi="Times New Roman"/>
                <w:sz w:val="20"/>
              </w:rPr>
              <w:t>Anlagenpräfix</w:t>
            </w:r>
          </w:p>
        </w:tc>
        <w:tc>
          <w:tcPr>
            <w:tcW w:type="dxa" w:w="4536"/>
          </w:tcPr>
          <w:p>
            <w:r>
              <w:rPr>
                <w:rFonts w:ascii="Times New Roman" w:hAnsi="Times New Roman"/>
                <w:sz w:val="20"/>
              </w:rPr>
              <w:t>K (Kläger: K1 ff., Beklagter: B1 ff.)</w:t>
            </w:r>
          </w:p>
        </w:tc>
      </w:tr>
      <w:tr>
        <w:tc>
          <w:tcPr>
            <w:tcW w:type="dxa" w:w="4536"/>
          </w:tcPr>
          <w:p>
            <w:r>
              <w:rPr>
                <w:rFonts w:ascii="Times New Roman" w:hAnsi="Times New Roman"/>
                <w:sz w:val="20"/>
              </w:rPr>
              <w:t>Besonderheiten</w:t>
            </w:r>
          </w:p>
        </w:tc>
        <w:tc>
          <w:tcPr>
            <w:tcW w:type="dxa" w:w="4536"/>
          </w:tcPr>
          <w:p>
            <w:r>
              <w:rPr>
                <w:rFonts w:ascii="Times New Roman" w:hAnsi="Times New Roman"/>
                <w:sz w:val="20"/>
              </w:rPr>
              <w:t>Hauptstreit um Anlagenkonvolut; 3.847 Einzelanlagen, davon ca. 247 als Gerichtsanlagen K1-K247 vorgesehen</w:t>
            </w:r>
          </w:p>
        </w:tc>
      </w:tr>
    </w:tbl>
    <w:p>
      <w:pPr>
        <w:pStyle w:val="Heading3"/>
      </w:pPr>
      <w:r>
        <w:rPr>
          <w:rFonts w:ascii="Times New Roman" w:hAnsi="Times New Roman"/>
        </w:rPr>
        <w:t>Verfahren 2: OLG Köln / OLG-Bezirk Köln — Berufung 14 U 22/26</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Merkmal</w:t>
            </w:r>
          </w:p>
        </w:tc>
        <w:tc>
          <w:tcPr>
            <w:tcW w:type="dxa" w:w="4536"/>
          </w:tcPr>
          <w:p>
            <w:r>
              <w:rPr>
                <w:rFonts w:ascii="Times New Roman" w:hAnsi="Times New Roman"/>
                <w:b/>
                <w:sz w:val="20"/>
              </w:rPr>
              <w:t>Inhalt</w:t>
            </w:r>
          </w:p>
        </w:tc>
      </w:tr>
      <w:tr>
        <w:tc>
          <w:tcPr>
            <w:tcW w:type="dxa" w:w="4536"/>
          </w:tcPr>
          <w:p>
            <w:r>
              <w:rPr>
                <w:rFonts w:ascii="Times New Roman" w:hAnsi="Times New Roman"/>
                <w:sz w:val="20"/>
              </w:rPr>
              <w:t>Gericht</w:t>
            </w:r>
          </w:p>
        </w:tc>
        <w:tc>
          <w:tcPr>
            <w:tcW w:type="dxa" w:w="4536"/>
          </w:tcPr>
          <w:p>
            <w:r>
              <w:rPr>
                <w:rFonts w:ascii="Times New Roman" w:hAnsi="Times New Roman"/>
                <w:sz w:val="20"/>
              </w:rPr>
              <w:t>Oberlandesgericht Köln, 14. Zivilsenat (Bausenat)</w:t>
            </w:r>
          </w:p>
        </w:tc>
      </w:tr>
      <w:tr>
        <w:tc>
          <w:tcPr>
            <w:tcW w:type="dxa" w:w="4536"/>
          </w:tcPr>
          <w:p>
            <w:r>
              <w:rPr>
                <w:rFonts w:ascii="Times New Roman" w:hAnsi="Times New Roman"/>
                <w:sz w:val="20"/>
              </w:rPr>
              <w:t>Aktenzeichen</w:t>
            </w:r>
          </w:p>
        </w:tc>
        <w:tc>
          <w:tcPr>
            <w:tcW w:type="dxa" w:w="4536"/>
          </w:tcPr>
          <w:p>
            <w:r>
              <w:rPr>
                <w:rFonts w:ascii="Times New Roman" w:hAnsi="Times New Roman"/>
                <w:sz w:val="20"/>
              </w:rPr>
              <w:t>14 U 22/26</w:t>
            </w:r>
          </w:p>
        </w:tc>
      </w:tr>
      <w:tr>
        <w:tc>
          <w:tcPr>
            <w:tcW w:type="dxa" w:w="4536"/>
          </w:tcPr>
          <w:p>
            <w:r>
              <w:rPr>
                <w:rFonts w:ascii="Times New Roman" w:hAnsi="Times New Roman"/>
                <w:sz w:val="20"/>
              </w:rPr>
              <w:t>Verfahrensart</w:t>
            </w:r>
          </w:p>
        </w:tc>
        <w:tc>
          <w:tcPr>
            <w:tcW w:type="dxa" w:w="4536"/>
          </w:tcPr>
          <w:p>
            <w:r>
              <w:rPr>
                <w:rFonts w:ascii="Times New Roman" w:hAnsi="Times New Roman"/>
                <w:sz w:val="20"/>
              </w:rPr>
              <w:t>Berufung (K+B Berufungskläger, Werkmann Berufungsbeklagter)</w:t>
            </w:r>
          </w:p>
        </w:tc>
      </w:tr>
      <w:tr>
        <w:tc>
          <w:tcPr>
            <w:tcW w:type="dxa" w:w="4536"/>
          </w:tcPr>
          <w:p>
            <w:r>
              <w:rPr>
                <w:rFonts w:ascii="Times New Roman" w:hAnsi="Times New Roman"/>
                <w:sz w:val="20"/>
              </w:rPr>
              <w:t>Streitwert</w:t>
            </w:r>
          </w:p>
        </w:tc>
        <w:tc>
          <w:tcPr>
            <w:tcW w:type="dxa" w:w="4536"/>
          </w:tcPr>
          <w:p>
            <w:r>
              <w:rPr>
                <w:rFonts w:ascii="Times New Roman" w:hAnsi="Times New Roman"/>
                <w:sz w:val="20"/>
              </w:rPr>
              <w:t>380.000 EUR (Verzugsschadensklage aus erster Instanz)</w:t>
            </w:r>
          </w:p>
        </w:tc>
      </w:tr>
      <w:tr>
        <w:tc>
          <w:tcPr>
            <w:tcW w:type="dxa" w:w="4536"/>
          </w:tcPr>
          <w:p>
            <w:r>
              <w:rPr>
                <w:rFonts w:ascii="Times New Roman" w:hAnsi="Times New Roman"/>
                <w:sz w:val="20"/>
              </w:rPr>
              <w:t>Vorinstanz</w:t>
            </w:r>
          </w:p>
        </w:tc>
        <w:tc>
          <w:tcPr>
            <w:tcW w:type="dxa" w:w="4536"/>
          </w:tcPr>
          <w:p>
            <w:r>
              <w:rPr>
                <w:rFonts w:ascii="Times New Roman" w:hAnsi="Times New Roman"/>
                <w:sz w:val="20"/>
              </w:rPr>
              <w:t>LG Aachen, Az. 5 O 244/25 — Urteil vom 14.11.2025 (teilweise obsiegend für Werkmann)</w:t>
            </w:r>
          </w:p>
        </w:tc>
      </w:tr>
      <w:tr>
        <w:tc>
          <w:tcPr>
            <w:tcW w:type="dxa" w:w="4536"/>
          </w:tcPr>
          <w:p>
            <w:r>
              <w:rPr>
                <w:rFonts w:ascii="Times New Roman" w:hAnsi="Times New Roman"/>
                <w:sz w:val="20"/>
              </w:rPr>
              <w:t>Berufungsbegründungsfrist</w:t>
            </w:r>
          </w:p>
        </w:tc>
        <w:tc>
          <w:tcPr>
            <w:tcW w:type="dxa" w:w="4536"/>
          </w:tcPr>
          <w:p>
            <w:r>
              <w:rPr>
                <w:rFonts w:ascii="Times New Roman" w:hAnsi="Times New Roman"/>
                <w:sz w:val="20"/>
              </w:rPr>
              <w:t>15. März 2026</w:t>
            </w:r>
          </w:p>
        </w:tc>
      </w:tr>
      <w:tr>
        <w:tc>
          <w:tcPr>
            <w:tcW w:type="dxa" w:w="4536"/>
          </w:tcPr>
          <w:p>
            <w:r>
              <w:rPr>
                <w:rFonts w:ascii="Times New Roman" w:hAnsi="Times New Roman"/>
                <w:sz w:val="20"/>
              </w:rPr>
              <w:t>Anlagenpräfix</w:t>
            </w:r>
          </w:p>
        </w:tc>
        <w:tc>
          <w:tcPr>
            <w:tcW w:type="dxa" w:w="4536"/>
          </w:tcPr>
          <w:p>
            <w:r>
              <w:rPr>
                <w:rFonts w:ascii="Times New Roman" w:hAnsi="Times New Roman"/>
                <w:sz w:val="20"/>
              </w:rPr>
              <w:t>BK (Berufungskläger) und BB (Berufungsbeklagter)</w:t>
            </w:r>
          </w:p>
        </w:tc>
      </w:tr>
      <w:tr>
        <w:tc>
          <w:tcPr>
            <w:tcW w:type="dxa" w:w="4536"/>
          </w:tcPr>
          <w:p>
            <w:r>
              <w:rPr>
                <w:rFonts w:ascii="Times New Roman" w:hAnsi="Times New Roman"/>
                <w:sz w:val="20"/>
              </w:rPr>
              <w:t>Konfliktpunkt</w:t>
            </w:r>
          </w:p>
        </w:tc>
        <w:tc>
          <w:tcPr>
            <w:tcW w:type="dxa" w:w="4536"/>
          </w:tcPr>
          <w:p>
            <w:r>
              <w:rPr>
                <w:rFonts w:ascii="Times New Roman" w:hAnsi="Times New Roman"/>
                <w:sz w:val="20"/>
              </w:rPr>
              <w:t>Anlagesynkronisation mit LG-Verfahren; Dokumente tauchen in beiden Verfahren auf, teils unter verschiedenen Nummern</w:t>
            </w:r>
          </w:p>
        </w:tc>
      </w:tr>
    </w:tbl>
    <w:p>
      <w:pPr>
        <w:pStyle w:val="Heading3"/>
      </w:pPr>
      <w:r>
        <w:rPr>
          <w:rFonts w:ascii="Times New Roman" w:hAnsi="Times New Roman"/>
        </w:rPr>
        <w:t>Verfahren 3: DIS-Schiedsverfahren DIS-SV-2026/088</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Merkmal</w:t>
            </w:r>
          </w:p>
        </w:tc>
        <w:tc>
          <w:tcPr>
            <w:tcW w:type="dxa" w:w="4536"/>
          </w:tcPr>
          <w:p>
            <w:r>
              <w:rPr>
                <w:rFonts w:ascii="Times New Roman" w:hAnsi="Times New Roman"/>
                <w:b/>
                <w:sz w:val="20"/>
              </w:rPr>
              <w:t>Inhalt</w:t>
            </w:r>
          </w:p>
        </w:tc>
      </w:tr>
      <w:tr>
        <w:tc>
          <w:tcPr>
            <w:tcW w:type="dxa" w:w="4536"/>
          </w:tcPr>
          <w:p>
            <w:r>
              <w:rPr>
                <w:rFonts w:ascii="Times New Roman" w:hAnsi="Times New Roman"/>
                <w:sz w:val="20"/>
              </w:rPr>
              <w:t>Institution</w:t>
            </w:r>
          </w:p>
        </w:tc>
        <w:tc>
          <w:tcPr>
            <w:tcW w:type="dxa" w:w="4536"/>
          </w:tcPr>
          <w:p>
            <w:r>
              <w:rPr>
                <w:rFonts w:ascii="Times New Roman" w:hAnsi="Times New Roman"/>
                <w:sz w:val="20"/>
              </w:rPr>
              <w:t>Deutsche Institution für Schiedsgerichtsbarkeit e.V. (DIS), Frankfurt am Main</w:t>
            </w:r>
          </w:p>
        </w:tc>
      </w:tr>
      <w:tr>
        <w:tc>
          <w:tcPr>
            <w:tcW w:type="dxa" w:w="4536"/>
          </w:tcPr>
          <w:p>
            <w:r>
              <w:rPr>
                <w:rFonts w:ascii="Times New Roman" w:hAnsi="Times New Roman"/>
                <w:sz w:val="20"/>
              </w:rPr>
              <w:t>Aktenzeichen</w:t>
            </w:r>
          </w:p>
        </w:tc>
        <w:tc>
          <w:tcPr>
            <w:tcW w:type="dxa" w:w="4536"/>
          </w:tcPr>
          <w:p>
            <w:r>
              <w:rPr>
                <w:rFonts w:ascii="Times New Roman" w:hAnsi="Times New Roman"/>
                <w:sz w:val="20"/>
              </w:rPr>
              <w:t>DIS-SV-2026/088</w:t>
            </w:r>
          </w:p>
        </w:tc>
      </w:tr>
      <w:tr>
        <w:tc>
          <w:tcPr>
            <w:tcW w:type="dxa" w:w="4536"/>
          </w:tcPr>
          <w:p>
            <w:r>
              <w:rPr>
                <w:rFonts w:ascii="Times New Roman" w:hAnsi="Times New Roman"/>
                <w:sz w:val="20"/>
              </w:rPr>
              <w:t>Schiedsort</w:t>
            </w:r>
          </w:p>
        </w:tc>
        <w:tc>
          <w:tcPr>
            <w:tcW w:type="dxa" w:w="4536"/>
          </w:tcPr>
          <w:p>
            <w:r>
              <w:rPr>
                <w:rFonts w:ascii="Times New Roman" w:hAnsi="Times New Roman"/>
                <w:sz w:val="20"/>
              </w:rPr>
              <w:t>Frankfurt am Main (per Schiedsklausel § 18 NU-Vertrag)</w:t>
            </w:r>
          </w:p>
        </w:tc>
      </w:tr>
      <w:tr>
        <w:tc>
          <w:tcPr>
            <w:tcW w:type="dxa" w:w="4536"/>
          </w:tcPr>
          <w:p>
            <w:r>
              <w:rPr>
                <w:rFonts w:ascii="Times New Roman" w:hAnsi="Times New Roman"/>
                <w:sz w:val="20"/>
              </w:rPr>
              <w:t>Verfahrensart</w:t>
            </w:r>
          </w:p>
        </w:tc>
        <w:tc>
          <w:tcPr>
            <w:tcW w:type="dxa" w:w="4536"/>
          </w:tcPr>
          <w:p>
            <w:r>
              <w:rPr>
                <w:rFonts w:ascii="Times New Roman" w:hAnsi="Times New Roman"/>
                <w:sz w:val="20"/>
              </w:rPr>
              <w:t>Schiedsklage K+B gegen Werkmann (Mängel); Widerklage Werkmann in Vorbereitung</w:t>
            </w:r>
          </w:p>
        </w:tc>
      </w:tr>
      <w:tr>
        <w:tc>
          <w:tcPr>
            <w:tcW w:type="dxa" w:w="4536"/>
          </w:tcPr>
          <w:p>
            <w:r>
              <w:rPr>
                <w:rFonts w:ascii="Times New Roman" w:hAnsi="Times New Roman"/>
                <w:sz w:val="20"/>
              </w:rPr>
              <w:t>Schiedsrichterin (vors.)</w:t>
            </w:r>
          </w:p>
        </w:tc>
        <w:tc>
          <w:tcPr>
            <w:tcW w:type="dxa" w:w="4536"/>
          </w:tcPr>
          <w:p>
            <w:r>
              <w:rPr>
                <w:rFonts w:ascii="Times New Roman" w:hAnsi="Times New Roman"/>
                <w:sz w:val="20"/>
              </w:rPr>
              <w:t>Prof. Dr. Elke Schwartze, Frankfurt</w:t>
            </w:r>
          </w:p>
        </w:tc>
      </w:tr>
      <w:tr>
        <w:tc>
          <w:tcPr>
            <w:tcW w:type="dxa" w:w="4536"/>
          </w:tcPr>
          <w:p>
            <w:r>
              <w:rPr>
                <w:rFonts w:ascii="Times New Roman" w:hAnsi="Times New Roman"/>
                <w:sz w:val="20"/>
              </w:rPr>
              <w:t>Streitwert Klage</w:t>
            </w:r>
          </w:p>
        </w:tc>
        <w:tc>
          <w:tcPr>
            <w:tcW w:type="dxa" w:w="4536"/>
          </w:tcPr>
          <w:p>
            <w:r>
              <w:rPr>
                <w:rFonts w:ascii="Times New Roman" w:hAnsi="Times New Roman"/>
                <w:sz w:val="20"/>
              </w:rPr>
              <w:t>1.200.000 EUR (K+B behauptet: Mangelfolgeschäden)</w:t>
            </w:r>
          </w:p>
        </w:tc>
      </w:tr>
      <w:tr>
        <w:tc>
          <w:tcPr>
            <w:tcW w:type="dxa" w:w="4536"/>
          </w:tcPr>
          <w:p>
            <w:r>
              <w:rPr>
                <w:rFonts w:ascii="Times New Roman" w:hAnsi="Times New Roman"/>
                <w:sz w:val="20"/>
              </w:rPr>
              <w:t>Streitwert Widerklage</w:t>
            </w:r>
          </w:p>
        </w:tc>
        <w:tc>
          <w:tcPr>
            <w:tcW w:type="dxa" w:w="4536"/>
          </w:tcPr>
          <w:p>
            <w:r>
              <w:rPr>
                <w:rFonts w:ascii="Times New Roman" w:hAnsi="Times New Roman"/>
                <w:sz w:val="20"/>
              </w:rPr>
              <w:t>2.400.000 EUR (Werkmann: Werklohnforderung)</w:t>
            </w:r>
          </w:p>
        </w:tc>
      </w:tr>
      <w:tr>
        <w:tc>
          <w:tcPr>
            <w:tcW w:type="dxa" w:w="4536"/>
          </w:tcPr>
          <w:p>
            <w:r>
              <w:rPr>
                <w:rFonts w:ascii="Times New Roman" w:hAnsi="Times New Roman"/>
                <w:sz w:val="20"/>
              </w:rPr>
              <w:t>DIS-Verfahrensstand</w:t>
            </w:r>
          </w:p>
        </w:tc>
        <w:tc>
          <w:tcPr>
            <w:tcW w:type="dxa" w:w="4536"/>
          </w:tcPr>
          <w:p>
            <w:r>
              <w:rPr>
                <w:rFonts w:ascii="Times New Roman" w:hAnsi="Times New Roman"/>
                <w:sz w:val="20"/>
              </w:rPr>
              <w:t>Konstituierung Schiedsgericht 19.12.2025; Schriftsatzfristen laufen</w:t>
            </w:r>
          </w:p>
        </w:tc>
      </w:tr>
      <w:tr>
        <w:tc>
          <w:tcPr>
            <w:tcW w:type="dxa" w:w="4536"/>
          </w:tcPr>
          <w:p>
            <w:r>
              <w:rPr>
                <w:rFonts w:ascii="Times New Roman" w:hAnsi="Times New Roman"/>
                <w:sz w:val="20"/>
              </w:rPr>
              <w:t>Anlagenpräfix</w:t>
            </w:r>
          </w:p>
        </w:tc>
        <w:tc>
          <w:tcPr>
            <w:tcW w:type="dxa" w:w="4536"/>
          </w:tcPr>
          <w:p>
            <w:r>
              <w:rPr>
                <w:rFonts w:ascii="Times New Roman" w:hAnsi="Times New Roman"/>
                <w:sz w:val="20"/>
              </w:rPr>
              <w:t>S-W (Werkmann) und S-KB (K+B)</w:t>
            </w:r>
          </w:p>
        </w:tc>
      </w:tr>
      <w:tr>
        <w:tc>
          <w:tcPr>
            <w:tcW w:type="dxa" w:w="4536"/>
          </w:tcPr>
          <w:p>
            <w:r>
              <w:rPr>
                <w:rFonts w:ascii="Times New Roman" w:hAnsi="Times New Roman"/>
                <w:sz w:val="20"/>
              </w:rPr>
              <w:t>Problem</w:t>
            </w:r>
          </w:p>
        </w:tc>
        <w:tc>
          <w:tcPr>
            <w:tcW w:type="dxa" w:w="4536"/>
          </w:tcPr>
          <w:p>
            <w:r>
              <w:rPr>
                <w:rFonts w:ascii="Times New Roman" w:hAnsi="Times New Roman"/>
                <w:sz w:val="20"/>
              </w:rPr>
              <w:t>Schiedsgericht verlangt 4 Originale je Schriftsatz und je einen USB-Stick; Anlagen-Sammelband erwartungsgemäß 1.847 Seiten</w:t>
            </w:r>
          </w:p>
        </w:tc>
      </w:tr>
    </w:tbl>
    <w:p/>
    <w:p>
      <w:pPr>
        <w:pStyle w:val="Heading2"/>
      </w:pPr>
      <w:r>
        <w:rPr>
          <w:rFonts w:ascii="Times New Roman" w:hAnsi="Times New Roman"/>
        </w:rPr>
        <w:t>C. Beteiligte Kanzleien und Sachverständige</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Funktion</w:t>
            </w:r>
          </w:p>
        </w:tc>
        <w:tc>
          <w:tcPr>
            <w:tcW w:type="dxa" w:w="4536"/>
          </w:tcPr>
          <w:p>
            <w:r>
              <w:rPr>
                <w:rFonts w:ascii="Times New Roman" w:hAnsi="Times New Roman"/>
                <w:b/>
                <w:sz w:val="20"/>
              </w:rPr>
              <w:t>Person / Kanzlei</w:t>
            </w:r>
          </w:p>
        </w:tc>
      </w:tr>
      <w:tr>
        <w:tc>
          <w:tcPr>
            <w:tcW w:type="dxa" w:w="4536"/>
          </w:tcPr>
          <w:p>
            <w:r>
              <w:rPr>
                <w:rFonts w:ascii="Times New Roman" w:hAnsi="Times New Roman"/>
                <w:sz w:val="20"/>
              </w:rPr>
              <w:t>Prozessbevollmächtigter Werkmann</w:t>
            </w:r>
          </w:p>
        </w:tc>
        <w:tc>
          <w:tcPr>
            <w:tcW w:type="dxa" w:w="4536"/>
          </w:tcPr>
          <w:p>
            <w:r>
              <w:rPr>
                <w:rFonts w:ascii="Times New Roman" w:hAnsi="Times New Roman"/>
                <w:sz w:val="20"/>
              </w:rPr>
              <w:t>RA Dr. Bertram Söhnchen LL.M., Söhnchen &amp; Partner Rechtsanwälte mbB, Aachen</w:t>
            </w:r>
          </w:p>
        </w:tc>
      </w:tr>
      <w:tr>
        <w:tc>
          <w:tcPr>
            <w:tcW w:type="dxa" w:w="4536"/>
          </w:tcPr>
          <w:p>
            <w:r>
              <w:rPr>
                <w:rFonts w:ascii="Times New Roman" w:hAnsi="Times New Roman"/>
                <w:sz w:val="20"/>
              </w:rPr>
              <w:t>Wiss. Mitarbeiterin</w:t>
            </w:r>
          </w:p>
        </w:tc>
        <w:tc>
          <w:tcPr>
            <w:tcW w:type="dxa" w:w="4536"/>
          </w:tcPr>
          <w:p>
            <w:r>
              <w:rPr>
                <w:rFonts w:ascii="Times New Roman" w:hAnsi="Times New Roman"/>
                <w:sz w:val="20"/>
              </w:rPr>
              <w:t>Lea Stang, stud. iur. (Referendarin), dieselbe Kanzlei</w:t>
            </w:r>
          </w:p>
        </w:tc>
      </w:tr>
      <w:tr>
        <w:tc>
          <w:tcPr>
            <w:tcW w:type="dxa" w:w="4536"/>
          </w:tcPr>
          <w:p>
            <w:r>
              <w:rPr>
                <w:rFonts w:ascii="Times New Roman" w:hAnsi="Times New Roman"/>
                <w:sz w:val="20"/>
              </w:rPr>
              <w:t>Prozessbevollmächtigter K+B (LG)</w:t>
            </w:r>
          </w:p>
        </w:tc>
        <w:tc>
          <w:tcPr>
            <w:tcW w:type="dxa" w:w="4536"/>
          </w:tcPr>
          <w:p>
            <w:r>
              <w:rPr>
                <w:rFonts w:ascii="Times New Roman" w:hAnsi="Times New Roman"/>
                <w:sz w:val="20"/>
              </w:rPr>
              <w:t>RA Dr. Günter Kessling, Kessling Bau + Recht, Aachen</w:t>
            </w:r>
          </w:p>
        </w:tc>
      </w:tr>
      <w:tr>
        <w:tc>
          <w:tcPr>
            <w:tcW w:type="dxa" w:w="4536"/>
          </w:tcPr>
          <w:p>
            <w:r>
              <w:rPr>
                <w:rFonts w:ascii="Times New Roman" w:hAnsi="Times New Roman"/>
                <w:sz w:val="20"/>
              </w:rPr>
              <w:t>Privat-SV (Werkmann)</w:t>
            </w:r>
          </w:p>
        </w:tc>
        <w:tc>
          <w:tcPr>
            <w:tcW w:type="dxa" w:w="4536"/>
          </w:tcPr>
          <w:p>
            <w:r>
              <w:rPr>
                <w:rFonts w:ascii="Times New Roman" w:hAnsi="Times New Roman"/>
                <w:sz w:val="20"/>
              </w:rPr>
              <w:t>Dipl.-Ing. Bruno Feldkamp, ö.b.u.v. SV für Lackieranlagen, Düsseldorf</w:t>
            </w:r>
          </w:p>
        </w:tc>
      </w:tr>
      <w:tr>
        <w:tc>
          <w:tcPr>
            <w:tcW w:type="dxa" w:w="4536"/>
          </w:tcPr>
          <w:p>
            <w:r>
              <w:rPr>
                <w:rFonts w:ascii="Times New Roman" w:hAnsi="Times New Roman"/>
                <w:sz w:val="20"/>
              </w:rPr>
              <w:t>Privat-SV (K+B)</w:t>
            </w:r>
          </w:p>
        </w:tc>
        <w:tc>
          <w:tcPr>
            <w:tcW w:type="dxa" w:w="4536"/>
          </w:tcPr>
          <w:p>
            <w:r>
              <w:rPr>
                <w:rFonts w:ascii="Times New Roman" w:hAnsi="Times New Roman"/>
                <w:sz w:val="20"/>
              </w:rPr>
              <w:t>Dr.-Ing. Susanne Reinmann, Gutachtergesellschaft Reinmann &amp; Sigl, Köln</w:t>
            </w:r>
          </w:p>
        </w:tc>
      </w:tr>
      <w:tr>
        <w:tc>
          <w:tcPr>
            <w:tcW w:type="dxa" w:w="4536"/>
          </w:tcPr>
          <w:p>
            <w:r>
              <w:rPr>
                <w:rFonts w:ascii="Times New Roman" w:hAnsi="Times New Roman"/>
                <w:sz w:val="20"/>
              </w:rPr>
              <w:t>Gericht-SV (LG Aachen)</w:t>
            </w:r>
          </w:p>
        </w:tc>
        <w:tc>
          <w:tcPr>
            <w:tcW w:type="dxa" w:w="4536"/>
          </w:tcPr>
          <w:p>
            <w:r>
              <w:rPr>
                <w:rFonts w:ascii="Times New Roman" w:hAnsi="Times New Roman"/>
                <w:sz w:val="20"/>
              </w:rPr>
              <w:t>Noch nicht bestellt (Beweisbeschluss ausstehend)</w:t>
            </w:r>
          </w:p>
        </w:tc>
      </w:tr>
    </w:tbl>
    <w:p/>
    <w:p>
      <w:pPr>
        <w:pStyle w:val="Heading2"/>
      </w:pPr>
      <w:r>
        <w:rPr>
          <w:rFonts w:ascii="Times New Roman" w:hAnsi="Times New Roman"/>
        </w:rPr>
        <w:t>D. Fristen und Termine (Stand: 15.01.2026)</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Datum</w:t>
            </w:r>
          </w:p>
        </w:tc>
        <w:tc>
          <w:tcPr>
            <w:tcW w:type="dxa" w:w="4536"/>
          </w:tcPr>
          <w:p>
            <w:r>
              <w:rPr>
                <w:rFonts w:ascii="Times New Roman" w:hAnsi="Times New Roman"/>
                <w:b/>
                <w:sz w:val="20"/>
              </w:rPr>
              <w:t>Ereignis</w:t>
            </w:r>
          </w:p>
        </w:tc>
      </w:tr>
      <w:tr>
        <w:tc>
          <w:tcPr>
            <w:tcW w:type="dxa" w:w="4536"/>
          </w:tcPr>
          <w:p>
            <w:r>
              <w:rPr>
                <w:rFonts w:ascii="Times New Roman" w:hAnsi="Times New Roman"/>
                <w:sz w:val="20"/>
              </w:rPr>
              <w:t>21.01.2026</w:t>
            </w:r>
          </w:p>
        </w:tc>
        <w:tc>
          <w:tcPr>
            <w:tcW w:type="dxa" w:w="4536"/>
          </w:tcPr>
          <w:p>
            <w:r>
              <w:rPr>
                <w:rFonts w:ascii="Times New Roman" w:hAnsi="Times New Roman"/>
                <w:sz w:val="20"/>
              </w:rPr>
              <w:t>Geplante Klageeinreichung LG Aachen 11 O 188/26</w:t>
            </w:r>
          </w:p>
        </w:tc>
      </w:tr>
      <w:tr>
        <w:tc>
          <w:tcPr>
            <w:tcW w:type="dxa" w:w="4536"/>
          </w:tcPr>
          <w:p>
            <w:r>
              <w:rPr>
                <w:rFonts w:ascii="Times New Roman" w:hAnsi="Times New Roman"/>
                <w:sz w:val="20"/>
              </w:rPr>
              <w:t>15.03.2026</w:t>
            </w:r>
          </w:p>
        </w:tc>
        <w:tc>
          <w:tcPr>
            <w:tcW w:type="dxa" w:w="4536"/>
          </w:tcPr>
          <w:p>
            <w:r>
              <w:rPr>
                <w:rFonts w:ascii="Times New Roman" w:hAnsi="Times New Roman"/>
                <w:sz w:val="20"/>
              </w:rPr>
              <w:t>Berufungsbegründungsfrist OLG 14 U 22/26</w:t>
            </w:r>
          </w:p>
        </w:tc>
      </w:tr>
      <w:tr>
        <w:tc>
          <w:tcPr>
            <w:tcW w:type="dxa" w:w="4536"/>
          </w:tcPr>
          <w:p>
            <w:r>
              <w:rPr>
                <w:rFonts w:ascii="Times New Roman" w:hAnsi="Times New Roman"/>
                <w:sz w:val="20"/>
              </w:rPr>
              <w:t>28.02.2026</w:t>
            </w:r>
          </w:p>
        </w:tc>
        <w:tc>
          <w:tcPr>
            <w:tcW w:type="dxa" w:w="4536"/>
          </w:tcPr>
          <w:p>
            <w:r>
              <w:rPr>
                <w:rFonts w:ascii="Times New Roman" w:hAnsi="Times New Roman"/>
                <w:sz w:val="20"/>
              </w:rPr>
              <w:t>Erwiderungsfrist Schiedsklage DIS-SV-2026/088</w:t>
            </w:r>
          </w:p>
        </w:tc>
      </w:tr>
      <w:tr>
        <w:tc>
          <w:tcPr>
            <w:tcW w:type="dxa" w:w="4536"/>
          </w:tcPr>
          <w:p>
            <w:r>
              <w:rPr>
                <w:rFonts w:ascii="Times New Roman" w:hAnsi="Times New Roman"/>
                <w:sz w:val="20"/>
              </w:rPr>
              <w:t>31.03.2026</w:t>
            </w:r>
          </w:p>
        </w:tc>
        <w:tc>
          <w:tcPr>
            <w:tcW w:type="dxa" w:w="4536"/>
          </w:tcPr>
          <w:p>
            <w:r>
              <w:rPr>
                <w:rFonts w:ascii="Times New Roman" w:hAnsi="Times New Roman"/>
                <w:sz w:val="20"/>
              </w:rPr>
              <w:t>Geplante Einreichung Widerklage DIS</w:t>
            </w:r>
          </w:p>
        </w:tc>
      </w:tr>
      <w:tr>
        <w:tc>
          <w:tcPr>
            <w:tcW w:type="dxa" w:w="4536"/>
          </w:tcPr>
          <w:p>
            <w:r>
              <w:rPr>
                <w:rFonts w:ascii="Times New Roman" w:hAnsi="Times New Roman"/>
                <w:sz w:val="20"/>
              </w:rPr>
              <w:t>laufend</w:t>
            </w:r>
          </w:p>
        </w:tc>
        <w:tc>
          <w:tcPr>
            <w:tcW w:type="dxa" w:w="4536"/>
          </w:tcPr>
          <w:p>
            <w:r>
              <w:rPr>
                <w:rFonts w:ascii="Times New Roman" w:hAnsi="Times New Roman"/>
                <w:sz w:val="20"/>
              </w:rPr>
              <w:t>Mängelbeseitigung (Modul 7C-Steuerung): Frist 28.02.2026</w:t>
            </w:r>
          </w:p>
        </w:tc>
      </w:tr>
    </w:tbl>
    <w:p/>
    <w:p>
      <w:pPr>
        <w:pStyle w:val="Heading2"/>
      </w:pPr>
      <w:r>
        <w:rPr>
          <w:rFonts w:ascii="Times New Roman" w:hAnsi="Times New Roman"/>
        </w:rPr>
        <w:t>E. Anmerkungen zur Anlagenstrategie</w:t>
      </w:r>
    </w:p>
    <w:p>
      <w:pPr>
        <w:jc w:val="left"/>
      </w:pPr>
      <w:r>
        <w:t>Die drei parallelen Verfahren stellen die Kanzlei vor die Herausforderung, dass dasselbe physische Dokument (z.B. ein Aufmaßprotokoll vom 14.07.2024) in drei Verfahren auftaucht, aber unterschiedliche Anlagenbezeichnungen trägt. Eine kanzleiinterne Mastermatrix (Aktenstück 12) ist zwingend erforderlich. Ohne diese Matrix besteht das Risiko, dass beim Querverweis im Schriftsatz eine falsche Anlagenbezeichnung verwendet wird — ein klassischer Fehler in komplexen Bauprozessen.</w:t>
      </w:r>
    </w:p>
    <w:p>
      <w:pPr>
        <w:jc w:val="left"/>
      </w:pPr>
      <w:r>
        <w:t>Quelle zu Anlagenstrukturierung in Bausachen: vgl. BGH, Urteil vom 25.02.2016 — VII ZR 49/15, NJW 2016, S. 1662 (zu Substantiierungsanforderungen bei Bauklagen; abrufbar auf bundesgerichtshof.de).</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Söhnchen &amp; Partner Rechtsanwälte mbB</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2C5230"/>
        <w:sz w:val="22"/>
      </w:rPr>
      <w:t>SÖHNCHEN &amp; PARTNER RECHTSANWÄLTE MBB</w:t>
    </w:r>
  </w:p>
  <w:p>
    <w:pPr>
      <w:jc w:val="left"/>
      <w:pBdr>
        <w:bottom w:val="single" w:sz="8" w:space="2" w:color="2C5230"/>
      </w:pBdr>
    </w:pPr>
    <w:r>
      <w:rPr>
        <w:rFonts w:ascii="Times New Roman" w:hAnsi="Times New Roman"/>
        <w:color w:val="6B6B66"/>
        <w:sz w:val="16"/>
      </w:rPr>
      <w:t>Aachen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