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Deckblatt Anlage K1 — Vertragsgrundlagen Lackieranlage Eschweiler</w:t>
      </w:r>
    </w:p>
    <w:p>
      <w:pPr>
        <w:pStyle w:val="Heading2"/>
      </w:pPr>
      <w:r>
        <w:rPr>
          <w:rFonts w:ascii="Times New Roman" w:hAnsi="Times New Roman"/>
        </w:rPr>
        <w:t>Deckblatttext für Gerichtsfassung</w:t>
      </w:r>
    </w:p>
    <w:p>
      <w:pPr>
        <w:jc w:val="left"/>
      </w:pPr>
      <w:r>
        <w:rPr>
          <w:b/>
        </w:rPr>
        <w:t>Anlage K1</w:t>
      </w:r>
    </w:p>
    <w:p>
      <w:pPr>
        <w:jc w:val="left"/>
      </w:pPr>
      <w:r>
        <w:t>Vertragsgrundlagen der Nachunternehmerleistung Werkmann Bau- und Anlagentechnik GmbH / K+B Industriebau AG zur Lackieranlage Autoform Eschweiler</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Unteranlage</w:t>
            </w:r>
          </w:p>
        </w:tc>
        <w:tc>
          <w:tcPr>
            <w:tcW w:type="dxa" w:w="2268"/>
          </w:tcPr>
          <w:p>
            <w:r>
              <w:rPr>
                <w:rFonts w:ascii="Times New Roman" w:hAnsi="Times New Roman"/>
                <w:b/>
                <w:sz w:val="20"/>
              </w:rPr>
              <w:t>Dokument</w:t>
            </w:r>
          </w:p>
        </w:tc>
        <w:tc>
          <w:tcPr>
            <w:tcW w:type="dxa" w:w="2268"/>
          </w:tcPr>
          <w:p>
            <w:r>
              <w:rPr>
                <w:rFonts w:ascii="Times New Roman" w:hAnsi="Times New Roman"/>
                <w:b/>
                <w:sz w:val="20"/>
              </w:rPr>
              <w:t>Datum</w:t>
            </w:r>
          </w:p>
        </w:tc>
        <w:tc>
          <w:tcPr>
            <w:tcW w:type="dxa" w:w="2268"/>
          </w:tcPr>
          <w:p>
            <w:r>
              <w:rPr>
                <w:rFonts w:ascii="Times New Roman" w:hAnsi="Times New Roman"/>
                <w:b/>
                <w:sz w:val="20"/>
              </w:rPr>
              <w:t>Beweiszweck</w:t>
            </w:r>
          </w:p>
        </w:tc>
      </w:tr>
      <w:tr>
        <w:tc>
          <w:tcPr>
            <w:tcW w:type="dxa" w:w="2268"/>
          </w:tcPr>
          <w:p>
            <w:r>
              <w:rPr>
                <w:rFonts w:ascii="Times New Roman" w:hAnsi="Times New Roman"/>
                <w:sz w:val="20"/>
              </w:rPr>
              <w:t>K1.1</w:t>
            </w:r>
          </w:p>
        </w:tc>
        <w:tc>
          <w:tcPr>
            <w:tcW w:type="dxa" w:w="2268"/>
          </w:tcPr>
          <w:p>
            <w:r>
              <w:rPr>
                <w:rFonts w:ascii="Times New Roman" w:hAnsi="Times New Roman"/>
                <w:sz w:val="20"/>
              </w:rPr>
              <w:t>Nachunternehmervertrag Werkmann/K+B</w:t>
            </w:r>
          </w:p>
        </w:tc>
        <w:tc>
          <w:tcPr>
            <w:tcW w:type="dxa" w:w="2268"/>
          </w:tcPr>
          <w:p>
            <w:r>
              <w:rPr>
                <w:rFonts w:ascii="Times New Roman" w:hAnsi="Times New Roman"/>
                <w:sz w:val="20"/>
              </w:rPr>
              <w:t>28.03.2024</w:t>
            </w:r>
          </w:p>
        </w:tc>
        <w:tc>
          <w:tcPr>
            <w:tcW w:type="dxa" w:w="2268"/>
          </w:tcPr>
          <w:p>
            <w:r>
              <w:rPr>
                <w:rFonts w:ascii="Times New Roman" w:hAnsi="Times New Roman"/>
                <w:sz w:val="20"/>
              </w:rPr>
              <w:t>Vertragsschluss, Pauschalpreis, Leistungsbild</w:t>
            </w:r>
          </w:p>
        </w:tc>
      </w:tr>
      <w:tr>
        <w:tc>
          <w:tcPr>
            <w:tcW w:type="dxa" w:w="2268"/>
          </w:tcPr>
          <w:p>
            <w:r>
              <w:rPr>
                <w:rFonts w:ascii="Times New Roman" w:hAnsi="Times New Roman"/>
                <w:sz w:val="20"/>
              </w:rPr>
              <w:t>K1.2</w:t>
            </w:r>
          </w:p>
        </w:tc>
        <w:tc>
          <w:tcPr>
            <w:tcW w:type="dxa" w:w="2268"/>
          </w:tcPr>
          <w:p>
            <w:r>
              <w:rPr>
                <w:rFonts w:ascii="Times New Roman" w:hAnsi="Times New Roman"/>
                <w:sz w:val="20"/>
              </w:rPr>
              <w:t>Technische Anlagenbeschreibung Lackierlinie V2.4</w:t>
            </w:r>
          </w:p>
        </w:tc>
        <w:tc>
          <w:tcPr>
            <w:tcW w:type="dxa" w:w="2268"/>
          </w:tcPr>
          <w:p>
            <w:r>
              <w:rPr>
                <w:rFonts w:ascii="Times New Roman" w:hAnsi="Times New Roman"/>
                <w:sz w:val="20"/>
              </w:rPr>
              <w:t>02.04.2024</w:t>
            </w:r>
          </w:p>
        </w:tc>
        <w:tc>
          <w:tcPr>
            <w:tcW w:type="dxa" w:w="2268"/>
          </w:tcPr>
          <w:p>
            <w:r>
              <w:rPr>
                <w:rFonts w:ascii="Times New Roman" w:hAnsi="Times New Roman"/>
                <w:sz w:val="20"/>
              </w:rPr>
              <w:t>technischer Ausgangsumfang, Taktzeit, Module</w:t>
            </w:r>
          </w:p>
        </w:tc>
      </w:tr>
      <w:tr>
        <w:tc>
          <w:tcPr>
            <w:tcW w:type="dxa" w:w="2268"/>
          </w:tcPr>
          <w:p>
            <w:r>
              <w:rPr>
                <w:rFonts w:ascii="Times New Roman" w:hAnsi="Times New Roman"/>
                <w:sz w:val="20"/>
              </w:rPr>
              <w:t>K1.3</w:t>
            </w:r>
          </w:p>
        </w:tc>
        <w:tc>
          <w:tcPr>
            <w:tcW w:type="dxa" w:w="2268"/>
          </w:tcPr>
          <w:p>
            <w:r>
              <w:rPr>
                <w:rFonts w:ascii="Times New Roman" w:hAnsi="Times New Roman"/>
                <w:sz w:val="20"/>
              </w:rPr>
              <w:t>Nachtrag N-07 Taktzeitverkürzung</w:t>
            </w:r>
          </w:p>
        </w:tc>
        <w:tc>
          <w:tcPr>
            <w:tcW w:type="dxa" w:w="2268"/>
          </w:tcPr>
          <w:p>
            <w:r>
              <w:rPr>
                <w:rFonts w:ascii="Times New Roman" w:hAnsi="Times New Roman"/>
                <w:sz w:val="20"/>
              </w:rPr>
              <w:t>12.07.2024</w:t>
            </w:r>
          </w:p>
        </w:tc>
        <w:tc>
          <w:tcPr>
            <w:tcW w:type="dxa" w:w="2268"/>
          </w:tcPr>
          <w:p>
            <w:r>
              <w:rPr>
                <w:rFonts w:ascii="Times New Roman" w:hAnsi="Times New Roman"/>
                <w:sz w:val="20"/>
              </w:rPr>
              <w:t>angeordnete Mehrleistung, Terminfolge</w:t>
            </w:r>
          </w:p>
        </w:tc>
      </w:tr>
      <w:tr>
        <w:tc>
          <w:tcPr>
            <w:tcW w:type="dxa" w:w="2268"/>
          </w:tcPr>
          <w:p>
            <w:r>
              <w:rPr>
                <w:rFonts w:ascii="Times New Roman" w:hAnsi="Times New Roman"/>
                <w:sz w:val="20"/>
              </w:rPr>
              <w:t>K1.4</w:t>
            </w:r>
          </w:p>
        </w:tc>
        <w:tc>
          <w:tcPr>
            <w:tcW w:type="dxa" w:w="2268"/>
          </w:tcPr>
          <w:p>
            <w:r>
              <w:rPr>
                <w:rFonts w:ascii="Times New Roman" w:hAnsi="Times New Roman"/>
                <w:sz w:val="20"/>
              </w:rPr>
              <w:t>E-Mail Tellenbach an Werkmann „Taktzeit und Preis“</w:t>
            </w:r>
          </w:p>
        </w:tc>
        <w:tc>
          <w:tcPr>
            <w:tcW w:type="dxa" w:w="2268"/>
          </w:tcPr>
          <w:p>
            <w:r>
              <w:rPr>
                <w:rFonts w:ascii="Times New Roman" w:hAnsi="Times New Roman"/>
                <w:sz w:val="20"/>
              </w:rPr>
              <w:t>16.07.2024</w:t>
            </w:r>
          </w:p>
        </w:tc>
        <w:tc>
          <w:tcPr>
            <w:tcW w:type="dxa" w:w="2268"/>
          </w:tcPr>
          <w:p>
            <w:r>
              <w:rPr>
                <w:rFonts w:ascii="Times New Roman" w:hAnsi="Times New Roman"/>
                <w:sz w:val="20"/>
              </w:rPr>
              <w:t>Wissen und Bestätigung K+B Bauleitung</w:t>
            </w:r>
          </w:p>
        </w:tc>
      </w:tr>
      <w:tr>
        <w:tc>
          <w:tcPr>
            <w:tcW w:type="dxa" w:w="2268"/>
          </w:tcPr>
          <w:p>
            <w:r>
              <w:rPr>
                <w:rFonts w:ascii="Times New Roman" w:hAnsi="Times New Roman"/>
                <w:sz w:val="20"/>
              </w:rPr>
              <w:t>K1.5</w:t>
            </w:r>
          </w:p>
        </w:tc>
        <w:tc>
          <w:tcPr>
            <w:tcW w:type="dxa" w:w="2268"/>
          </w:tcPr>
          <w:p>
            <w:r>
              <w:rPr>
                <w:rFonts w:ascii="Times New Roman" w:hAnsi="Times New Roman"/>
                <w:sz w:val="20"/>
              </w:rPr>
              <w:t>Kaufmännische Bestätigung K+B</w:t>
            </w:r>
          </w:p>
        </w:tc>
        <w:tc>
          <w:tcPr>
            <w:tcW w:type="dxa" w:w="2268"/>
          </w:tcPr>
          <w:p>
            <w:r>
              <w:rPr>
                <w:rFonts w:ascii="Times New Roman" w:hAnsi="Times New Roman"/>
                <w:sz w:val="20"/>
              </w:rPr>
              <w:t>19.07.2024</w:t>
            </w:r>
          </w:p>
        </w:tc>
        <w:tc>
          <w:tcPr>
            <w:tcW w:type="dxa" w:w="2268"/>
          </w:tcPr>
          <w:p>
            <w:r>
              <w:rPr>
                <w:rFonts w:ascii="Times New Roman" w:hAnsi="Times New Roman"/>
                <w:sz w:val="20"/>
              </w:rPr>
              <w:t>Vergütungsbestätigung dem Grunde nach</w:t>
            </w:r>
          </w:p>
        </w:tc>
      </w:tr>
    </w:tbl>
    <w:p>
      <w:pPr>
        <w:pStyle w:val="Heading2"/>
      </w:pPr>
      <w:r>
        <w:rPr>
          <w:rFonts w:ascii="Times New Roman" w:hAnsi="Times New Roman"/>
        </w:rPr>
        <w:t>Stempelvorgabe</w:t>
      </w:r>
    </w:p>
    <w:p>
      <w:pPr>
        <w:pStyle w:val="ListBullet"/>
      </w:pPr>
      <w:r>
        <w:t xml:space="preserve">Deckblatt: oben rechts </w:t>
      </w:r>
      <w:r>
        <w:t>Anlage K1</w:t>
      </w:r>
      <w:r>
        <w:t>, Arial 12 pt.</w:t>
      </w:r>
    </w:p>
    <w:p>
      <w:pPr>
        <w:pStyle w:val="ListBullet"/>
      </w:pPr>
      <w:r>
        <w:t xml:space="preserve">Unteranlagen: oben rechts </w:t>
      </w:r>
      <w:r>
        <w:t>Anlage K1.1</w:t>
      </w:r>
      <w:r>
        <w:t xml:space="preserve"> bis </w:t>
      </w:r>
      <w:r>
        <w:t>Anlage K1.5</w:t>
      </w:r>
      <w:r>
        <w:t>.</w:t>
      </w:r>
    </w:p>
    <w:p>
      <w:pPr>
        <w:pStyle w:val="ListBullet"/>
      </w:pPr>
      <w:r>
        <w:t>Keine weitere Untergliederung innerhalb K1.2, weil technische Beschreibung bereits eigenes Inhaltsverzeichnis hat.</w:t>
      </w:r>
    </w:p>
    <w:p>
      <w:pPr>
        <w:pStyle w:val="ListBullet"/>
      </w:pPr>
      <w:r>
        <w:t xml:space="preserve">Dateiname gerichtliche PDF-Fassung: </w:t>
      </w:r>
      <w:r>
        <w:t>anlage-k-001_vertragsgrundlagen-lackieranlage-eschweiler.pdf</w:t>
      </w:r>
      <w:r>
        <w:t>.</w:t>
      </w:r>
    </w:p>
    <w:p>
      <w:pPr>
        <w:pStyle w:val="Heading2"/>
      </w:pPr>
      <w:r>
        <w:rPr>
          <w:rFonts w:ascii="Times New Roman" w:hAnsi="Times New Roman"/>
        </w:rPr>
        <w:t>Interne Notiz</w:t>
      </w:r>
    </w:p>
    <w:p>
      <w:pPr>
        <w:jc w:val="left"/>
      </w:pPr>
      <w:r>
        <w:t>K1 ist nicht als Anlagenfriedhof zu verwenden. Lieferscheine, Bautagebuchauszüge und Aufmaßprotokolle gehören nicht in K1, sondern in K22 ff., K38 ff. und K66 ff. Die Versuchung, „zur Sicherheit“ alles Vertragsnahe in K1 zu werfen, wird ausdrücklich verworfen.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Deckblatttext für Gerichtsfassung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Deckblatttext für Gerichtsfassung</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