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Nachreichungsplan nach richterlichem Hinweis vom 25.03.2026</w:t>
      </w:r>
    </w:p>
    <w:p>
      <w:pPr>
        <w:pStyle w:val="Heading2"/>
      </w:pPr>
      <w:r>
        <w:rPr>
          <w:rFonts w:ascii="Times New Roman" w:hAnsi="Times New Roman"/>
        </w:rPr>
        <w:t>Hinweis 1: K1 zu unübersichtlich</w:t>
      </w:r>
    </w:p>
    <w:p>
      <w:pPr>
        <w:jc w:val="left"/>
      </w:pPr>
      <w:r>
        <w:t>Gericht bittet um klarere Darstellung, welche Bestandteile der Vertragsgrundlagen für welche Nachtragsposition erheblich sind.</w:t>
      </w:r>
    </w:p>
    <w:p>
      <w:pPr>
        <w:jc w:val="left"/>
      </w:pPr>
      <w:r>
        <w:t>Maßnahme: K1-Konvolut mit Deckblatt K1.1 bis K1.5 neu strukturieren; Schriftsatz Rn. 7-15 entsprechend präzisieren.</w:t>
      </w:r>
    </w:p>
    <w:p>
      <w:pPr>
        <w:pStyle w:val="Heading2"/>
      </w:pPr>
      <w:r>
        <w:rPr>
          <w:rFonts w:ascii="Times New Roman" w:hAnsi="Times New Roman"/>
        </w:rPr>
        <w:t>Hinweis 2: K38a nicht lesbar</w:t>
      </w:r>
    </w:p>
    <w:p>
      <w:pPr>
        <w:jc w:val="left"/>
      </w:pPr>
      <w:r>
        <w:t>Aufmaßprotokoll K38a ist im Randbereich abgeschnitten.</w:t>
      </w:r>
    </w:p>
    <w:p>
      <w:pPr>
        <w:jc w:val="left"/>
      </w:pPr>
      <w:r>
        <w:t>Maßnahme: Neuscan beim Mandanten anfordern; bis dahin K38a nicht als tragenden Beleg verwenden. Ersatzweise K38 und K39 mit Zeugenangebot kombinieren.</w:t>
      </w:r>
    </w:p>
    <w:p>
      <w:pPr>
        <w:pStyle w:val="Heading2"/>
      </w:pPr>
      <w:r>
        <w:rPr>
          <w:rFonts w:ascii="Times New Roman" w:hAnsi="Times New Roman"/>
        </w:rPr>
        <w:t>Hinweis 3: Massendokumente K121 ff.</w:t>
      </w:r>
    </w:p>
    <w:p>
      <w:pPr>
        <w:jc w:val="left"/>
      </w:pPr>
      <w:r>
        <w:t>Gericht fragt, welche Massendokumente repräsentativ sind und welche nur zur Vollständigkeit eingereicht wurden.</w:t>
      </w:r>
    </w:p>
    <w:p>
      <w:pPr>
        <w:jc w:val="left"/>
      </w:pPr>
      <w:r>
        <w:t>Maßnahme: K121-K247 in Gruppen A-E gliedern. Für jede Gruppe ein Deckblatt mit Auswahlgrund und Bezug zur Anspruchsposition. Keine Behauptung „alles ergibt sich aus Anlagenkonvolut“.</w:t>
      </w:r>
    </w:p>
    <w:p>
      <w:pPr>
        <w:pStyle w:val="Heading2"/>
      </w:pPr>
      <w:r>
        <w:rPr>
          <w:rFonts w:ascii="Times New Roman" w:hAnsi="Times New Roman"/>
        </w:rPr>
        <w:t>Hinweis 4: Zahlungsfluss K4</w:t>
      </w:r>
    </w:p>
    <w:p>
      <w:pPr>
        <w:jc w:val="left"/>
      </w:pPr>
      <w:r>
        <w:t>Gericht bittet um bessere Lesbarkeit des Zahlungsbelegs.</w:t>
      </w:r>
    </w:p>
    <w:p>
      <w:pPr>
        <w:jc w:val="left"/>
      </w:pPr>
      <w:r>
        <w:t>Maßnahme: Original-PDF der Bank nachfordern, Drittbuchungen schwärzen, Buchungszeile vergrößert als K4a zusätzlich beifügen.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 bittet um klarere Darstellung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 bittet um klarere Darstellung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welche Bestandteile der Vertragsgrundlagen für welche Nachtragsposition erheblich sind.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