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Kanzleinotiz Erstgespräch</w:t>
      </w:r>
    </w:p>
    <w:p>
      <w:pPr>
        <w:jc w:val="left"/>
      </w:pPr>
      <w:r>
        <w:t>Datum: 14. November 2024, 10:00–12:20 Uhr</w:t>
      </w:r>
    </w:p>
    <w:p>
      <w:pPr>
        <w:jc w:val="left"/>
      </w:pPr>
      <w:r>
        <w:t>Mandantin: Lina Meinhardt, geb. 13.04.1993, Lehrerin, Harzstraße 24, 31134 Hildesheim</w:t>
      </w:r>
    </w:p>
    <w:p>
      <w:pPr>
        <w:jc w:val="left"/>
      </w:pPr>
      <w:r>
        <w:t>Kind: Helene Meinhardt, geb. 18.07.2024, Hildesheim</w:t>
      </w:r>
    </w:p>
    <w:p>
      <w:pPr>
        <w:jc w:val="left"/>
      </w:pPr>
      <w:r>
        <w:t>Gegenseite: Evangelisches Klinikum Bad Salzdetfurth gGmbH sowie Dr. Almut Voth, Prof. Dr. Hartmut Weingärtner, Beleghebamme Margit Sander</w:t>
      </w:r>
    </w:p>
    <w:p>
      <w:pPr>
        <w:jc w:val="left"/>
      </w:pPr>
      <w:r>
        <w:t>Bearbeiterin: RAin Christina Wachhorst, Fachanwältin Medizinrecht; in der Sozietät mit RA Dr. Jonas Reuss (GKV/Sozialrecht)</w:t>
      </w:r>
    </w:p>
    <w:p>
      <w:pPr>
        <w:jc w:val="left"/>
      </w:pPr>
      <w:r>
        <w:t>Kanzlei: Klotzkette Rechtsanwaltsgesellschaft mbH, Charlottenstraße 35, 10117 Berlin</w:t>
      </w:r>
    </w:p>
    <w:p/>
    <w:p>
      <w:pPr>
        <w:pStyle w:val="Heading2"/>
      </w:pPr>
      <w:r>
        <w:rPr>
          <w:rFonts w:ascii="Times New Roman" w:hAnsi="Times New Roman"/>
        </w:rPr>
        <w:t>Gesprächssituation</w:t>
      </w:r>
    </w:p>
    <w:p>
      <w:pPr>
        <w:jc w:val="left"/>
      </w:pPr>
      <w:r>
        <w:t>Frau Meinhardt kommt allein. Sie trägt Helene in einer Tragehilfe, die das Kind in Kopf-nach-oben-Position fixiert; das Kind bewegt sich nicht, reagiert aber auf Stimme. Frau Meinhardt wirkt erschöpft, spricht ruhig und geordnet. Sie hat eine Mappe mit kopierten Krankenhausunterlagen und drei USB-Sticks dabei. Auf einem Stick: CTG-Ausdrucke, Foto-Dokumentation der ersten Tage auf der Neugeborenen-Intensivstation, ein Video der Tochter beim Frühförderungstermin.</w:t>
      </w:r>
    </w:p>
    <w:p>
      <w:pPr>
        <w:jc w:val="left"/>
      </w:pPr>
      <w:r>
        <w:t>Sie berichtet, dass ihr Lebenspartner Lars Eichner, geb. 1991, Systemadministrator, nicht kommen konnte (Schichtdienst). Das Paar ist nicht verheiratet. Herr Eichner ist als Vater im Geburtsregister eingetragen. Die Vollmacht für die Mandatsführung liegt nur von Frau Meinhardt vor; für eine Klage im Namen von Helene ist Ergänzungspfleger- oder gemeinsame Vertretungsfrage noch zu klären.</w:t>
      </w:r>
    </w:p>
    <w:p/>
    <w:p>
      <w:pPr>
        <w:pStyle w:val="Heading2"/>
      </w:pPr>
      <w:r>
        <w:rPr>
          <w:rFonts w:ascii="Times New Roman" w:hAnsi="Times New Roman"/>
        </w:rPr>
        <w:t>Sachverhaltsaufnahme</w:t>
      </w:r>
    </w:p>
    <w:p>
      <w:pPr>
        <w:jc w:val="left"/>
      </w:pPr>
      <w:r>
        <w:t>Frau Meinhardt schildert den Abend des 17. Juli 2024: regulärer Entbindungstermin sei der 12. Juli gewesen (ET nach US-Datierung). Sie habe ab ca. 19:00 Uhr Wehen bemerkt, zunächst unregelmäßig, ab 21:00 Uhr im Rhythmus von etwa fünf Minuten. Ihr Freund habe sie um 21:30 Uhr ins Evangelische Klinikum Bad Salzdetfurth gefahren. Aufnahme gegen 21:48 Uhr, das bestätige die Aufnahmekarte, die sie mitgebracht hat.</w:t>
      </w:r>
    </w:p>
    <w:p>
      <w:pPr>
        <w:jc w:val="left"/>
      </w:pPr>
      <w:r>
        <w:t>Aufnahme-CTG: Frau Meinhardt erinnert sich, dass die Hebamme beim Anlegen des CTG-Geräts gesagt habe, „das ist noch unauffällig". Auf Nachfrage, was sie damit meinte, antwortete die Hebamme sinngemäß: Es gebe „solche kleinen Schwankungen, das ist normal". Frau Meinhardt konnte die CTG-Anzeige selbst nicht lesen. Ihr Freund sei gegen 22:30 Uhr kurz draußen gewesen, um das Auto umzuparkieren.</w:t>
      </w:r>
    </w:p>
    <w:p>
      <w:pPr>
        <w:jc w:val="left"/>
      </w:pPr>
      <w:r>
        <w:t>Ca. 23:00 bis 23:30 Uhr: Frau Meinhardt erinnert sich, dass Muttermund laut Hebamme bei 7 cm lag. Die Hebamme wechselte mehrfach. Sie sei sich nicht sicher, aber ab Mitternacht sei eine andere Person im Dienst gewesen. Keine Ärztin oder Arzt im Kreißsaal, nur kurze Blicke durch die Glastür.</w:t>
      </w:r>
    </w:p>
    <w:p>
      <w:pPr>
        <w:jc w:val="left"/>
      </w:pPr>
      <w:r>
        <w:t>Etwa 01:00 bis 01:30 Uhr: Frau Meinhardt schildert, dass das CTG-Gerät mehrfach „piepste" und die Kurve auf dem Bildschirm bei Wehen steil abfiel. Die neue Hebamme (Pfletschinger, wie sie den Namen später aus der Akte rekonstruierte) sagte, das sei normal beim Pressen. Kein Arzt wurde gezogen. Frau Meinhardt fragte explizit, ob alles in Ordnung sei, und erhielt eine beruhigende Antwort.</w:t>
      </w:r>
    </w:p>
    <w:p>
      <w:pPr>
        <w:jc w:val="left"/>
      </w:pPr>
      <w:r>
        <w:t>Gegen 02:30 Uhr: Ein Arzt – Frau Meinhardt glaubt, eine Frau – kam kurz hinein, schaute auf den Monitor, sagte etwas von „pHWert messen", verschwand aber wieder schnell. Was genau gemessen wurde, weiß sie nicht. Kein Gespräch über Sectio oder andere Optionen.</w:t>
      </w:r>
    </w:p>
    <w:p>
      <w:pPr>
        <w:jc w:val="left"/>
      </w:pPr>
      <w:r>
        <w:t>03:47 Uhr: Plötzlich Alarm, viele Personen im Raum, jemand rief „Notsectio". Frau Meinhardt sagt, sie habe keine Zeit gehabt, „Ja" oder „Nein" zu sagen. Sie sei sehr schnell in den OP gefahren worden, Vollnarkose. Als sie aufwachte, war Helene weg, schon auf der Intensivstation.</w:t>
      </w:r>
    </w:p>
    <w:p>
      <w:pPr>
        <w:jc w:val="left"/>
      </w:pPr>
      <w:r>
        <w:t>Helene liegt heute mit Diagnose HIE Grad III (Hypoxisch-ischämische Enzephalopathie), ICP Grad III vor. Die Tochter ist jetzt 18 Monate alt, hat keine Spontanbewegung der oberen Extremitäten, reagiert auf laute Geräusche, zeigt keine Mimik. Sie wird über eine PEG-Sonde ernährt. Pflegegrad 5 wurde bereits festgestellt.</w:t>
      </w:r>
    </w:p>
    <w:p/>
    <w:p>
      <w:pPr>
        <w:pStyle w:val="Heading2"/>
      </w:pPr>
      <w:r>
        <w:rPr>
          <w:rFonts w:ascii="Times New Roman" w:hAnsi="Times New Roman"/>
        </w:rPr>
        <w:t>Unterlagen Frau Meinhardt hat mitgebracht</w:t>
      </w:r>
    </w:p>
    <w:p>
      <w:pPr>
        <w:pStyle w:val="ListNumber"/>
      </w:pPr>
      <w:r>
        <w:t>Kopie der Aufnahmekarte Geburtshilfe 17.07.2024</w:t>
      </w:r>
    </w:p>
    <w:p>
      <w:pPr>
        <w:pStyle w:val="ListNumber"/>
      </w:pPr>
      <w:r>
        <w:t>CTG-Ausdrucke — erste Seiten unleserlich, ab Bogen 3 (ca. 22:55 Uhr) lesbar, letzter vorhandener Bogen endet 03:29 Uhr (d.h. 18 Minuten vor OP-Beginn fehlen komplett)</w:t>
      </w:r>
    </w:p>
    <w:p>
      <w:pPr>
        <w:pStyle w:val="ListNumber"/>
      </w:pPr>
      <w:r>
        <w:t>OP-Bericht Sectio caesarea, 18.07.2024, 03:47 Uhr, 1 Seite, unleserliche Unterschrift</w:t>
      </w:r>
    </w:p>
    <w:p>
      <w:pPr>
        <w:pStyle w:val="ListNumber"/>
      </w:pPr>
      <w:r>
        <w:t>Verlegungsbericht NICU mit Apgar-Werten 1/3/5 und NSpH 6,92</w:t>
      </w:r>
    </w:p>
    <w:p>
      <w:pPr>
        <w:pStyle w:val="ListNumber"/>
      </w:pPr>
      <w:r>
        <w:t>Arztbriefe Sozialpädiatrisches Zentrum (SPZ) Hannover, zwei Briefe Jan. und Sept. 2024</w:t>
      </w:r>
    </w:p>
    <w:p>
      <w:pPr>
        <w:pStyle w:val="ListNumber"/>
      </w:pPr>
      <w:r>
        <w:t>Bescheid Pflegegrad 5, Medizinischer Dienst, Oktober 2024</w:t>
      </w:r>
    </w:p>
    <w:p>
      <w:pPr>
        <w:pStyle w:val="ListNumber"/>
      </w:pPr>
      <w:r>
        <w:t>Bescheid Versorgungsamt Hildesheim, GdB 100, Merkzeichen aG/H/B, September 2024</w:t>
      </w:r>
    </w:p>
    <w:p>
      <w:pPr>
        <w:jc w:val="left"/>
      </w:pPr>
      <w:r>
        <w:t>Nicht mitgebracht, anzufordern:</w:t>
      </w:r>
    </w:p>
    <w:p>
      <w:pPr>
        <w:pStyle w:val="ListBullet"/>
      </w:pPr>
      <w:r>
        <w:t>Vollständige Pflegedokumentation Kreißsaal</w:t>
      </w:r>
    </w:p>
    <w:p>
      <w:pPr>
        <w:pStyle w:val="ListBullet"/>
      </w:pPr>
      <w:r>
        <w:t>CTG-Originalstreifen (physisch/Archiv) nicht nur Ausdrucke</w:t>
      </w:r>
    </w:p>
    <w:p>
      <w:pPr>
        <w:pStyle w:val="ListBullet"/>
      </w:pPr>
      <w:r>
        <w:t>Aufklärungs-Checklisten und -Bögen (Frau Meinhardt kann sich an kein separates Aufklärungsgespräch über Sectio-Risiken erinnern, nur ein allgemeines Formular bei Aufnahme)</w:t>
      </w:r>
    </w:p>
    <w:p>
      <w:pPr>
        <w:pStyle w:val="ListBullet"/>
      </w:pPr>
      <w:r>
        <w:t>Schichtdienstnachweis der Hebammen</w:t>
      </w:r>
    </w:p>
    <w:p>
      <w:pPr>
        <w:pStyle w:val="ListBullet"/>
      </w:pPr>
      <w:r>
        <w:t>Narkoseprotokoll</w:t>
      </w:r>
    </w:p>
    <w:p/>
    <w:p>
      <w:pPr>
        <w:pStyle w:val="Heading2"/>
      </w:pPr>
      <w:r>
        <w:rPr>
          <w:rFonts w:ascii="Times New Roman" w:hAnsi="Times New Roman"/>
        </w:rPr>
        <w:t>Ersttriage Haftungsfragen und Fristen</w:t>
      </w:r>
    </w:p>
    <w:p>
      <w:pPr>
        <w:jc w:val="left"/>
      </w:pPr>
      <w:r>
        <w:rPr>
          <w:b/>
        </w:rPr>
        <w:t>Verjährung:</w:t>
      </w:r>
      <w:r>
        <w:t xml:space="preserve"> § 199 Abs. 1 BGB. Schadensersatzansprüche der Mutter (eigene Körperschäden, Verdienstausfall) verjähren grundsätzlich drei Jahre ab Kenntnis, frühestens Ende 2024. Für Helenes Ansprüche beginnt die Frist nicht vor Erlangung der Handlungsfähigkeit zu laufen; minderjährige Ansprüche unterliegen § 207 BGB (Hemmung). Kein akutes Verjährungsproblem, aber keine Untätigkeit nach Schlichtungsverfahren bis Ablauf 2027.</w:t>
      </w:r>
    </w:p>
    <w:p>
      <w:pPr>
        <w:jc w:val="left"/>
      </w:pPr>
      <w:r>
        <w:rPr>
          <w:b/>
        </w:rPr>
        <w:t>Beweissicherung:</w:t>
      </w:r>
      <w:r>
        <w:t xml:space="preserve"> Dringend Anforderung der vollständigen Patientenakte nach § 630g BGB. CTG-Originalrollen — sofern noch physisch vorhanden — vor Vernichtung sichern. Fotografische Sicherung der Dokumente, die Frau Meinhardt mitgebracht hat.</w:t>
      </w:r>
    </w:p>
    <w:p>
      <w:pPr>
        <w:jc w:val="left"/>
      </w:pPr>
      <w:r>
        <w:rPr>
          <w:b/>
        </w:rPr>
        <w:t>Schlichtung:</w:t>
      </w:r>
      <w:r>
        <w:t xml:space="preserve"> Schlichtungsantrag bei der Gutachter- und Schlichtungsstelle der Ärztekammer Niedersachsen prüfen. Voraussetzungen liegen vor: Behandlung in Niedersachsen, Behandlungsfehlervorwurf. Wird empfohlen als vorgerichtlicher Schritt vor Klage. Frau Meinhardt zustimmt.</w:t>
      </w:r>
    </w:p>
    <w:p>
      <w:pPr>
        <w:jc w:val="left"/>
      </w:pPr>
      <w:r>
        <w:rPr>
          <w:b/>
        </w:rPr>
        <w:t>Zuständigkeit LG:</w:t>
      </w:r>
      <w:r>
        <w:t xml:space="preserve"> Klage wird, nach Scheitern der Schlichtung, beim LG Hildesheim einzureichen sein. Streitwert bei beabsichtigtem Schmerzensgeld 350–500 TEUR zuzüglich Feststellungsanträge und materielle Schäden klar über 50.000 EUR, Landgericht zuständig.</w:t>
      </w:r>
    </w:p>
    <w:p>
      <w:pPr>
        <w:jc w:val="left"/>
      </w:pPr>
      <w:r>
        <w:rPr>
          <w:b/>
        </w:rPr>
        <w:t>Strafanzeige:</w:t>
      </w:r>
      <w:r>
        <w:t xml:space="preserve"> Frau Meinhardt fragt, ob sie Strafanzeige erstatten soll. Hinweis: Tatbestand fahrlässige Körperverletzung (§ 229 StGB) möglich, aber Hürde hoch, Strafverfahren dient nicht der Schadensersatzdurchsetzung und kann Parallelbeweis verschlechtern. Empfehlung: Strafanzeige kann erstattet werden, aber nicht als Druckmittel instrumentalisieren. Mandantin entscheidet sich für Strafanzeige. Wird separat bearbeitet.</w:t>
      </w:r>
    </w:p>
    <w:p>
      <w:pPr>
        <w:jc w:val="left"/>
      </w:pPr>
      <w:r>
        <w:rPr>
          <w:b/>
        </w:rPr>
        <w:t>Off-Label / GKV:</w:t>
      </w:r>
      <w:r>
        <w:t xml:space="preserve"> Frau Meinhardt erwähnt, dass sie selbst seit ca. März 2025 an anhaltenden Erschöpfungszuständen leidet (Long Covid nach nachgewiesenem SARS-CoV-2-Infekt im Klinikum März 2025). Dazu wird RA Dr. Reuss hinzugezogen.</w:t>
      </w:r>
    </w:p>
    <w:p/>
    <w:p>
      <w:pPr>
        <w:pStyle w:val="Heading2"/>
      </w:pPr>
      <w:r>
        <w:rPr>
          <w:rFonts w:ascii="Times New Roman" w:hAnsi="Times New Roman"/>
        </w:rPr>
        <w:t>Mandatsannahme</w:t>
      </w:r>
    </w:p>
    <w:p>
      <w:pPr>
        <w:jc w:val="left"/>
      </w:pPr>
      <w:r>
        <w:t>Mandant: Lina Meinhardt, handelnd auch als gesetzliche Vertreterin von Helene Meinhardt</w:t>
      </w:r>
    </w:p>
    <w:p>
      <w:pPr>
        <w:jc w:val="left"/>
      </w:pPr>
      <w:r>
        <w:t>Auftrag: Außergerichtliche Durchsetzung, Schlichtungsverfahren AÄK Niedersachsen, Klage LG Hildesheim</w:t>
      </w:r>
    </w:p>
    <w:p>
      <w:pPr>
        <w:jc w:val="left"/>
      </w:pPr>
      <w:r>
        <w:t>Vergütung: Stundenhonorar 280 EUR netto RAin Wachhorst; PKH-Antrag wird vorbereitet</w:t>
      </w:r>
    </w:p>
    <w:p>
      <w:pPr>
        <w:jc w:val="left"/>
      </w:pPr>
      <w:r>
        <w:t>Vollmacht: liegt vor (Datum 14.11.2024)</w:t>
      </w:r>
    </w:p>
    <w:p>
      <w:pPr>
        <w:jc w:val="left"/>
      </w:pPr>
      <w:r>
        <w:t>Widerrufsbelehrung: ausgehändigt</w:t>
      </w:r>
    </w:p>
    <w:p>
      <w:pPr>
        <w:jc w:val="left"/>
      </w:pPr>
      <w:r>
        <w:t>Nächste Schritte:</w:t>
      </w:r>
    </w:p>
    <w:p>
      <w:pPr>
        <w:pStyle w:val="ListBullet"/>
      </w:pPr>
      <w:r>
        <w:t>Akteneinsicht nach § 630g BGB anfordern (Schreiben bis 20.11.2024)</w:t>
      </w:r>
    </w:p>
    <w:p>
      <w:pPr>
        <w:pStyle w:val="ListBullet"/>
      </w:pPr>
      <w:r>
        <w:t>Schlichtungsantrag vorbereiten (bis Ende Oktober 2024 — Anm.: Datum zu prüfen, Frau Meinhardt gibt an, schon vorab eine andere Kanzlei angefragt zu haben, die ablehnte; Schlichtungsantrag soll so schnell wie möglich gestellt werden)</w:t>
      </w:r>
    </w:p>
    <w:p>
      <w:pPr>
        <w:pStyle w:val="ListBullet"/>
      </w:pPr>
      <w:r>
        <w:t>Fachliteratur CTG-Standards (DGGG-Leitlinie 2020, AWMF-Register) sichten</w:t>
      </w:r>
    </w:p>
    <w:p>
      <w:pPr>
        <w:pStyle w:val="ListBullet"/>
      </w:pPr>
      <w:r>
        <w:t>PKH-Antrag vorbereiten</w:t>
      </w:r>
    </w:p>
    <w:p>
      <w:pPr>
        <w:jc w:val="left"/>
      </w:pPr>
      <w:r>
        <w:t>Aufzeichnung: Wachhorst/Reuss, Kanzleisystem</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Evangelisches Klinikum Bad Salzdetfurth gGmbH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Evangelisches Klinikum Bad Salzdetfurth gGmbH</w:t>
    </w:r>
  </w:p>
  <w:p>
    <w:pPr>
      <w:jc w:val="left"/>
      <w:pBdr>
        <w:bottom w:val="single" w:sz="6" w:space="2" w:color="8A6A1F"/>
      </w:pBdr>
    </w:pPr>
    <w:r>
      <w:rPr>
        <w:rFonts w:ascii="Times New Roman" w:hAnsi="Times New Roman"/>
        <w:color w:val="6B6B66"/>
        <w:sz w:val="16"/>
      </w:rPr>
      <w:t>Prof. Dr. Hartmut Weingärtner, Beleghebamme Margit Sander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