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Pflegegrad, GdB und Versorgungsamt — Helene Meinhardt</w:t>
      </w:r>
    </w:p>
    <w:p>
      <w:pPr>
        <w:jc w:val="left"/>
      </w:pPr>
      <w:r>
        <w:t>Bearbeitung: RA Dr. Jonas Reuss (Sozialrecht), Klotzkette Rechtsanwaltsgesellschaft mbH</w:t>
      </w:r>
    </w:p>
    <w:p>
      <w:pPr>
        <w:jc w:val="left"/>
      </w:pPr>
      <w:r>
        <w:t>Stand: Mai 2025</w:t>
      </w:r>
    </w:p>
    <w:p/>
    <w:p>
      <w:pPr>
        <w:pStyle w:val="Heading2"/>
      </w:pPr>
      <w:r>
        <w:rPr>
          <w:rFonts w:ascii="Times New Roman" w:hAnsi="Times New Roman"/>
        </w:rPr>
        <w:t>1. Pflegegrad 5</w:t>
      </w:r>
    </w:p>
    <w:p>
      <w:pPr>
        <w:jc w:val="left"/>
      </w:pPr>
      <w:r>
        <w:rPr>
          <w:b/>
        </w:rPr>
        <w:t>Bescheid:</w:t>
      </w:r>
      <w:r>
        <w:t xml:space="preserve"> Pflegekasse der AOK Niedersachsen, Hannover, Datum: 08. Oktober 2024</w:t>
      </w:r>
    </w:p>
    <w:p>
      <w:pPr>
        <w:jc w:val="left"/>
      </w:pPr>
      <w:r>
        <w:rPr>
          <w:b/>
        </w:rPr>
        <w:t>Aktenzeichen Pflegekasse:</w:t>
      </w:r>
      <w:r>
        <w:t xml:space="preserve"> [anonymisiert]</w:t>
      </w:r>
    </w:p>
    <w:p>
      <w:pPr>
        <w:jc w:val="left"/>
      </w:pPr>
      <w:r>
        <w:t>Pflegegrad 5 wurde nach Begutachtung durch den Medizinischen Dienst (MD Niedersachsen) festgestellt. Gesamtpunkte: 97 von 100 (Höchstgrad). Begutachtung durch MD-Gutachter Dr. med. Carsten Hornung am 01. Oktober 2024 in der Wohnung der Mutter.</w:t>
      </w:r>
    </w:p>
    <w:p>
      <w:pPr>
        <w:jc w:val="left"/>
      </w:pPr>
      <w:r>
        <w:t>Leistungen Pflegegrad 5 (Stand gesetzliche Werte 2025):</w:t>
      </w:r>
    </w:p>
    <w:p>
      <w:pPr>
        <w:pStyle w:val="ListBullet"/>
      </w:pPr>
      <w:r>
        <w:t>Pflegegeld ambulant: EUR 947/Monat (bei eigener Pflege durch Angehörige; Frau Meinhardt bezieht dieses nicht vollständig, da Pflegedienst zugeschaltet)</w:t>
      </w:r>
    </w:p>
    <w:p>
      <w:pPr>
        <w:pStyle w:val="ListBullet"/>
      </w:pPr>
      <w:r>
        <w:t>Pflegesachleistung (ambulanter Pflegedienst): bis EUR 2.200/Monat</w:t>
      </w:r>
    </w:p>
    <w:p>
      <w:pPr>
        <w:pStyle w:val="ListBullet"/>
      </w:pPr>
      <w:r>
        <w:t>Tages-/Nachtpflege: bis EUR 1.775/Monat</w:t>
      </w:r>
    </w:p>
    <w:p>
      <w:pPr>
        <w:pStyle w:val="ListBullet"/>
      </w:pPr>
      <w:r>
        <w:t>Verhinderungspflege: bis EUR 1.612/Jahr</w:t>
      </w:r>
    </w:p>
    <w:p>
      <w:pPr>
        <w:pStyle w:val="ListBullet"/>
      </w:pPr>
      <w:r>
        <w:t>Kurzzeitpflege: bis EUR 1.774/Jahr</w:t>
      </w:r>
    </w:p>
    <w:p>
      <w:pPr>
        <w:pStyle w:val="ListBullet"/>
      </w:pPr>
      <w:r>
        <w:t>Hilfsmittel-Grundbetrag: EUR 40/Monat</w:t>
      </w:r>
    </w:p>
    <w:p>
      <w:pPr>
        <w:pStyle w:val="ListBullet"/>
      </w:pPr>
      <w:r>
        <w:t>Wohnraumanpassung: einmalig bis EUR 4.000 pro Maßnahme</w:t>
      </w:r>
    </w:p>
    <w:p>
      <w:pPr>
        <w:jc w:val="left"/>
      </w:pPr>
      <w:r>
        <w:rPr>
          <w:b/>
        </w:rPr>
        <w:t>Eigenanteil:</w:t>
      </w:r>
      <w:r>
        <w:t xml:space="preserve"> Wegen der Kombination aus ambulantem Pflegedienst und anteiligem Pflegegeld verbleiben monatlich EUR 3.850 Eigenanteil (vgl. AS 11). Dieser Eigenanteil ist Schadensersatzgegenstand.</w:t>
      </w:r>
    </w:p>
    <w:p/>
    <w:p>
      <w:pPr>
        <w:pStyle w:val="Heading2"/>
      </w:pPr>
      <w:r>
        <w:rPr>
          <w:rFonts w:ascii="Times New Roman" w:hAnsi="Times New Roman"/>
        </w:rPr>
        <w:t>2. Feststellung Grad der Behinderung (GdB) und Merkzeichen</w:t>
      </w:r>
    </w:p>
    <w:p>
      <w:pPr>
        <w:jc w:val="left"/>
      </w:pPr>
      <w:r>
        <w:rPr>
          <w:b/>
        </w:rPr>
        <w:t>Bescheid:</w:t>
      </w:r>
      <w:r>
        <w:t xml:space="preserve"> Versorgungsamt beim Landkreis Hildesheim (Versorgungsamt), September 2024</w:t>
      </w:r>
    </w:p>
    <w:p>
      <w:pPr>
        <w:jc w:val="left"/>
      </w:pPr>
      <w:r>
        <w:rPr>
          <w:b/>
        </w:rPr>
        <w:t>GdB:</w:t>
      </w:r>
      <w:r>
        <w:t xml:space="preserve"> 100</w:t>
      </w:r>
    </w:p>
    <w:p>
      <w:pPr>
        <w:jc w:val="left"/>
      </w:pPr>
      <w:r>
        <w:rPr>
          <w:b/>
        </w:rPr>
        <w:t>Merkzeichen:</w:t>
      </w:r>
    </w:p>
    <w:p>
      <w:pPr>
        <w:pStyle w:val="ListBullet"/>
      </w:pPr>
      <w:r>
        <w:rPr>
          <w:b/>
        </w:rPr>
        <w:t>aG</w:t>
      </w:r>
      <w:r>
        <w:t xml:space="preserve"> (außergewöhnliche Gehbehinderung): Festgestellt; Helene ist nicht gehfähig und nicht in der Lage, selbständig kurze Strecken zurückzulegen.</w:t>
      </w:r>
    </w:p>
    <w:p>
      <w:pPr>
        <w:pStyle w:val="ListBullet"/>
      </w:pPr>
      <w:r>
        <w:rPr>
          <w:b/>
        </w:rPr>
        <w:t>H</w:t>
      </w:r>
      <w:r>
        <w:t xml:space="preserve"> (Hilflosigkeit): Festgestellt; Helene ist in allen Lebensverrichtungen auf fremde Hilfe angewiesen.</w:t>
      </w:r>
    </w:p>
    <w:p>
      <w:pPr>
        <w:pStyle w:val="ListBullet"/>
      </w:pPr>
      <w:r>
        <w:rPr>
          <w:b/>
        </w:rPr>
        <w:t>B</w:t>
      </w:r>
      <w:r>
        <w:t xml:space="preserve"> (Berechtigung zur Mitnahme einer Begleitperson): Festgestellt.</w:t>
      </w:r>
    </w:p>
    <w:p>
      <w:pPr>
        <w:jc w:val="left"/>
      </w:pPr>
      <w:r>
        <w:t xml:space="preserve">Merkzeichen </w:t>
      </w:r>
      <w:r>
        <w:rPr>
          <w:b/>
        </w:rPr>
        <w:t>RF</w:t>
      </w:r>
      <w:r>
        <w:t xml:space="preserve"> (Rundfunkgebührenbefreiung) wurde ebenfalls beantragt und bewilligt.</w:t>
      </w:r>
    </w:p>
    <w:p/>
    <w:p>
      <w:pPr>
        <w:pStyle w:val="Heading2"/>
      </w:pPr>
      <w:r>
        <w:rPr>
          <w:rFonts w:ascii="Times New Roman" w:hAnsi="Times New Roman"/>
        </w:rPr>
        <w:t>3. Leistungen aufgrund Merkzeichen / GdB-Nachteilsausgleiche</w:t>
      </w:r>
    </w:p>
    <w:p>
      <w:pPr>
        <w:jc w:val="left"/>
      </w:pPr>
      <w:r>
        <w:t>Durch GdB 100, aG, H und B hat Helene Zugang zu:</w:t>
      </w:r>
    </w:p>
    <w:p>
      <w:pPr>
        <w:pStyle w:val="ListBullet"/>
      </w:pPr>
      <w:r>
        <w:t>Kraftfahrzeugsteuerbefreiung (§ 3a KraftStG)</w:t>
      </w:r>
    </w:p>
    <w:p>
      <w:pPr>
        <w:pStyle w:val="ListBullet"/>
      </w:pPr>
      <w:r>
        <w:t>Unentgeltliche Beförderung im ÖPNV (§ 228 SGB IX) nach Aktivierung der Wertmarke</w:t>
      </w:r>
    </w:p>
    <w:p>
      <w:pPr>
        <w:pStyle w:val="ListBullet"/>
      </w:pPr>
      <w:r>
        <w:t>Erhöhtes Kindergeld (§ 32 Abs. 6 EStG, Übertragung Kinderfreibetrag)</w:t>
      </w:r>
    </w:p>
    <w:p>
      <w:pPr>
        <w:pStyle w:val="ListBullet"/>
      </w:pPr>
      <w:r>
        <w:t>Steuerliche Geltendmachung außergewöhnlicher Belastungen (§ 33 EStG, Pauschbetrag EUR 7.400 p.a. bei GdB 100/H)</w:t>
      </w:r>
    </w:p>
    <w:p>
      <w:pPr>
        <w:pStyle w:val="ListBullet"/>
      </w:pPr>
      <w:r>
        <w:t>Parkerleichterungen (blauer Parkausweis EU-Standard)</w:t>
      </w:r>
    </w:p>
    <w:p>
      <w:pPr>
        <w:jc w:val="left"/>
      </w:pPr>
      <w:r>
        <w:t>Frau Meinhardt hat einzelne Nachteilsausgleiche noch nicht vollständig beantragt. Checkliste wurde ausgegeben.</w:t>
      </w:r>
    </w:p>
    <w:p/>
    <w:p>
      <w:pPr>
        <w:pStyle w:val="Heading2"/>
      </w:pPr>
      <w:r>
        <w:rPr>
          <w:rFonts w:ascii="Times New Roman" w:hAnsi="Times New Roman"/>
        </w:rPr>
        <w:t>4. EUTB-Beratung</w:t>
      </w:r>
    </w:p>
    <w:p>
      <w:pPr>
        <w:jc w:val="left"/>
      </w:pPr>
      <w:r>
        <w:t>Frau Meinhardt hat im November 2024 eine Erstberatung bei der Ergänzenden Unabhängigen Teilhabeberatung (EUTB), Beratungsstelle Hildesheim, wahrgenommen. Themen: Hilfsmittelversorgung, Wohnraumanpassungsantrag, Möglichkeit eines Persönlichen Budgets nach § 29 SGB IX. Die EUTB-Beraterin Silke Pagenstecher hat empfohlen, das Persönliche Budget zu prüfen, um flexible Pflegeleistungen einzukaufen.</w:t>
      </w:r>
    </w:p>
    <w:p>
      <w:pPr>
        <w:jc w:val="left"/>
      </w:pPr>
      <w:r>
        <w:t>Status: Antrag auf Persönliches Budget wurde im März 2025 gestellt, ist noch nicht beschieden.</w:t>
      </w:r>
    </w:p>
    <w:p/>
    <w:p>
      <w:pPr>
        <w:pStyle w:val="Heading2"/>
      </w:pPr>
      <w:r>
        <w:rPr>
          <w:rFonts w:ascii="Times New Roman" w:hAnsi="Times New Roman"/>
        </w:rPr>
        <w:t>5. Versorgungsamt — Widerspruchsverfahren Früherkennungsleistungen</w:t>
      </w:r>
    </w:p>
    <w:p>
      <w:pPr>
        <w:jc w:val="left"/>
      </w:pPr>
      <w:r>
        <w:t>Die Pflegekasse lehnte im Dezember 2024 die Kostenübernahme für die Frühförderung (interdisziplinäre Frühförderstelle Hannover, Kostenansatz EUR 3.200/Jahr) mit der Begründung ab, es handele sich um eine Maßnahme der Eingliederungshilfe, nicht der Pflegeversicherung. Das Versorgungsamt sieht sich nicht zuständig; die Krankenkasse verweist auf den Landkreis. Typisches Zuständigkeitskarussell bei Kindern mit komplexer Behinderung.</w:t>
      </w:r>
    </w:p>
    <w:p>
      <w:pPr>
        <w:jc w:val="left"/>
      </w:pPr>
      <w:r>
        <w:t>RA Dr. Reuss hat Widerspruch gegen den Ablehnungsbescheid der Pflegekasse eingelegt (Datum: 15. Januar 2025). Widerspruch läuft. Inhalt: § 43a SGB XI i.V.m. SGB IX Komplexleistung Frühförderung; Zuständigkeitsabklärung nach § 15 SGB IX (Bedarfsfeststellung, Zuständigkeitsklärungsverfahren).</w:t>
      </w:r>
    </w:p>
    <w:p/>
    <w:p>
      <w:pPr>
        <w:pStyle w:val="Heading2"/>
      </w:pPr>
      <w:r>
        <w:rPr>
          <w:rFonts w:ascii="Times New Roman" w:hAnsi="Times New Roman"/>
        </w:rPr>
        <w:t>6. Hilfsmittelversorgung Helene</w:t>
      </w:r>
    </w:p>
    <w:p>
      <w:pPr>
        <w:jc w:val="left"/>
      </w:pPr>
      <w:r>
        <w:t>Aktuell vorhanden (2024/2025):</w:t>
      </w:r>
    </w:p>
    <w:p>
      <w:pPr>
        <w:pStyle w:val="ListBullet"/>
      </w:pPr>
      <w:r>
        <w:t>Elektro-Rollstuhl (Stehrollstuhl), Eigenanteil EUR 1.200 (Restbetrag nach GKV-Bewilligung)</w:t>
      </w:r>
    </w:p>
    <w:p>
      <w:pPr>
        <w:pStyle w:val="ListBullet"/>
      </w:pPr>
      <w:r>
        <w:t>Ganzkörper-Sitzorthese (Spezialsitz), EUR 2.100 Eigenanteil</w:t>
      </w:r>
    </w:p>
    <w:p>
      <w:pPr>
        <w:pStyle w:val="ListBullet"/>
      </w:pPr>
      <w:r>
        <w:t>Stehständer, EUR 900 Eigenanteil</w:t>
      </w:r>
    </w:p>
    <w:p>
      <w:pPr>
        <w:pStyle w:val="ListBullet"/>
      </w:pPr>
      <w:r>
        <w:t>PEG-Pflegezubehör monatlich: ca. EUR 85 Eigenanteil</w:t>
      </w:r>
    </w:p>
    <w:p>
      <w:pPr>
        <w:pStyle w:val="ListBullet"/>
      </w:pPr>
      <w:r>
        <w:t>Lagerungs-Orthesen beidseits obere Extremitäten: EUR 750</w:t>
      </w:r>
    </w:p>
    <w:p>
      <w:pPr>
        <w:jc w:val="left"/>
      </w:pPr>
      <w:r>
        <w:t>Genehmigungsstreit GKV bei Hippotherapie und Botulinumtoxin: → AS 14 (KV-Schnittstelle).</w:t>
      </w:r>
    </w:p>
    <w:p/>
    <w:p>
      <w:pPr>
        <w:pStyle w:val="Heading2"/>
      </w:pPr>
      <w:r>
        <w:rPr>
          <w:rFonts w:ascii="Times New Roman" w:hAnsi="Times New Roman"/>
        </w:rPr>
        <w:t>7. Zusammenfassung offene Verfahren Sozialrecht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Behörde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Pflegegrad 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Pflegekasse AOK Niedersachsen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Beschieden (Oktober 2024)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GdB 100, Merkzeichen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Versorgungsamt Hildesheim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Beschieden (September 2024)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Frühförderung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Pflegekasse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Läuft (seit Jan. 2025)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Persönliches Budget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Zuständige Stelle unklar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gestellt (März 2025), keine Bescheidung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Wohnraumanpassung Zuschuss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KfW/Landkreis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März 2025, 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ÖPNV-Wertmarke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LZ-Amt Hannover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Beantragt, läuft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Pflegegrad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Pflegegrad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GdB und Versorgungsamt — Helene Meinhardt · Aktenzeichen Pflegekasse: [anonymisiert]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