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Off-Label-Therapie Long Covid — Lina Meinhardt</w:t>
      </w:r>
    </w:p>
    <w:p>
      <w:pPr>
        <w:jc w:val="left"/>
      </w:pPr>
      <w:r>
        <w:t>Bearbeitung: RA Dr. Jonas Reuss, Klotzkette Rechtsanwaltsgesellschaft mbH</w:t>
      </w:r>
    </w:p>
    <w:p>
      <w:pPr>
        <w:jc w:val="left"/>
      </w:pPr>
      <w:r>
        <w:t>Stand: Juni 2025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>Frau Lina Meinhardt war im März 2025 wegen einer anderen Erkrankung stationär im Klinikum Hannover (kein Zusammenhang mit dem Geburtsfall). Während dieses Aufenthalts wurde am 14. März 2025 eine SARS-CoV-2-Infektion diagnostiziert (PCR-positiv). Der Verlauf war mittelschwer; Entlassung nach 5 Tagen.</w:t>
      </w:r>
    </w:p>
    <w:p>
      <w:pPr>
        <w:jc w:val="left"/>
      </w:pPr>
      <w:r>
        <w:t>Seit dem Ende des Klinikaufenthalts (Mitte März 2025) klagt Frau Meinhardt über persistierende Symptome: Fatigue (Erschöpfung), Konzentrationsstörungen (Brain Fog), belastungsabhängige Dyspnoe, Schlafstörungen. Erstuntersuchung durch niedergelassenen Internisten Dr. Albrecht Feis, Hildesheim, Mai 2025. Diagnose: Post-COVID-Syndrom (ICD-10 U09.9). Weiterüberweisung an Post-COVID-Ambulanz Medizinische Hochschule Hannover (MHH).</w:t>
      </w:r>
    </w:p>
    <w:p/>
    <w:p>
      <w:pPr>
        <w:pStyle w:val="Heading2"/>
      </w:pPr>
      <w:r>
        <w:rPr>
          <w:rFonts w:ascii="Times New Roman" w:hAnsi="Times New Roman"/>
        </w:rPr>
        <w:t>2. Therapieantrag Off-Label Maraviroc-Kombination</w:t>
      </w:r>
    </w:p>
    <w:p>
      <w:pPr>
        <w:jc w:val="left"/>
      </w:pPr>
      <w:r>
        <w:t>In der Post-COVID-Ambulanz MHH wurde die Möglichkeit einer Off-Label-Behandlung mit dem CCR5-Antagonisten Maraviroc besprochen. Maraviroc ist zugelassen zur Behandlung von HIV-Infektionen. Im Kontext Long COVID liegen präklinische Daten und eine Pilotstudie (Stanford University, 2023, Patterson et al.) vor, die auf entzündungshemmende Wirkung bei Long COVID-Patienten hindeuten.</w:t>
      </w:r>
    </w:p>
    <w:p>
      <w:pPr>
        <w:jc w:val="left"/>
      </w:pPr>
      <w:r>
        <w:t>Maraviroc ist für Long COVID nicht zugelassen. Die MHH-Ärztin Dr. Irene Schunke stellte am 02. Juni 2025 einen Antrag auf Kostenübernahme gegenüber der AOK Niedersachsen (GKV Frau Meinhardt) nach § 13 Abs. 3 SGB V (Kostenerstattung bei unaufschiebbarer Leistung / Systemversagen) oder alternativ auf Grundlage des sog. Off-Label-Use-Antrags nach Maßgabe der BSG-Rechtsprechung (BSG, 19.03.2002, B 1 KR 37/00 R; BSG, 26.09.2006, B 1 KR 3/06 R).</w:t>
      </w:r>
    </w:p>
    <w:p/>
    <w:p>
      <w:pPr>
        <w:pStyle w:val="Heading2"/>
      </w:pPr>
      <w:r>
        <w:rPr>
          <w:rFonts w:ascii="Times New Roman" w:hAnsi="Times New Roman"/>
        </w:rPr>
        <w:t>3. MDK-Ablehnung</w:t>
      </w:r>
    </w:p>
    <w:p>
      <w:pPr>
        <w:jc w:val="left"/>
      </w:pPr>
      <w:r>
        <w:t>Der MD Niedersachsen lehnte am 25. Juni 2025 die Kostenübernahme für Maraviroc ab. Begründung:</w:t>
      </w:r>
    </w:p>
    <w:p>
      <w:pPr>
        <w:pStyle w:val="ListBullet"/>
      </w:pPr>
      <w:r>
        <w:t>Maraviroc ist für Long COVID nicht zugelassen.</w:t>
      </w:r>
    </w:p>
    <w:p>
      <w:pPr>
        <w:pStyle w:val="ListBullet"/>
      </w:pPr>
      <w:r>
        <w:t>Es liege kein hinreichender Wirkungsnachweis für die konkrete Indikation vor.</w:t>
      </w:r>
    </w:p>
    <w:p>
      <w:pPr>
        <w:pStyle w:val="ListBullet"/>
      </w:pPr>
      <w:r>
        <w:t>Die Voraussetzungen des Off-Label-Use nach BSG seien nicht erfüllt: keine zugelassene Therapiealternative sei ausgeschlossen, und die Studienlage reiche nicht für eine gefestigte Expertenmeinung aus.</w:t>
      </w:r>
    </w:p>
    <w:p>
      <w:pPr>
        <w:pStyle w:val="ListBullet"/>
      </w:pPr>
      <w:r>
        <w:t>Die MHH-Pilotstudie werde als nicht ausreichend randomisiert und kontrolliert bewertet.</w:t>
      </w:r>
    </w:p>
    <w:p/>
    <w:p>
      <w:pPr>
        <w:pStyle w:val="Heading2"/>
      </w:pPr>
      <w:r>
        <w:rPr>
          <w:rFonts w:ascii="Times New Roman" w:hAnsi="Times New Roman"/>
        </w:rPr>
        <w:t>4. Widerspruch (RA Dr. Reuss)</w:t>
      </w:r>
    </w:p>
    <w:p>
      <w:pPr>
        <w:jc w:val="left"/>
      </w:pPr>
      <w:r>
        <w:t>Widerspruch eingelegt: 14. Juli 2025 (fristgemäß, § 84 Abs. 1 SGG, 1 Monat).</w:t>
      </w:r>
    </w:p>
    <w:p>
      <w:pPr>
        <w:jc w:val="left"/>
      </w:pPr>
      <w:r>
        <w:rPr>
          <w:b/>
        </w:rPr>
        <w:t>Kern des Widerspruchs:</w:t>
      </w:r>
    </w:p>
    <w:p>
      <w:pPr>
        <w:pStyle w:val="ListNumber"/>
      </w:pPr>
      <w:r>
        <w:rPr>
          <w:b/>
        </w:rPr>
        <w:t>Lebensbedrohlichkeit / schwerwiegende Erkrankung:</w:t>
      </w:r>
      <w:r>
        <w:t xml:space="preserve"> Post-COVID mit schwerer Fatigue und Arbeitsunfähigkeit stellt eine schwerwiegende Erkrankung im Sinne der BSG-Rechtsprechung dar. Die Frage, ob eine „lebensbedrohliche" Erkrankung vorliegen muss oder ob „schwerwiegend" ausreicht, ist nach BVerfG 06.12.2005 (1 BvR 347/98) für grundrechtlich nicht aufschiebbaren Behandlungsbedarf zu bejahen: Bei einer Erkrankung, die die gesamte Lebenssituation massiv beeinträchtigt und keine zugelassene Standardtherapie hat, kann GKV-Leistungsanspruch bestehen.</w:t>
      </w:r>
    </w:p>
    <w:p>
      <w:pPr>
        <w:pStyle w:val="ListNumber"/>
      </w:pPr>
      <w:r>
        <w:rPr>
          <w:b/>
        </w:rPr>
        <w:t>Keine zugelassene Alternative:</w:t>
      </w:r>
      <w:r>
        <w:t xml:space="preserve"> Für Post-COVID-Fatigue gibt es derzeit keine zugelassene Pharmakotherapie. Die Kasse hat keine plausible Alternative benannt.</w:t>
      </w:r>
    </w:p>
    <w:p>
      <w:pPr>
        <w:pStyle w:val="ListNumber"/>
      </w:pPr>
      <w:r>
        <w:rPr>
          <w:b/>
        </w:rPr>
        <w:t>Hinreichende Studienlage:</w:t>
      </w:r>
      <w:r>
        <w:t xml:space="preserve"> Die Patterson-Studie 2023 (n=22, Stanford, veröffentlicht in medRxiv, peer-reviewed version in Preparation) zeigt klinisch signifikante Verbesserungen bei 68 % der behandelten Patienten. Weitere Daten aus klinischer Beobachtung UK (Long COVID clinic London) liegen vor. Obwohl keine RCT-Studie vorliegt, genügen für den BSG-Standard in Notsituationen auch unkontrollierte Studien mit ermutigenden Ergebnissen, wenn die Therapie keine ernsten Gegenanzeigen hat.</w:t>
      </w:r>
    </w:p>
    <w:p>
      <w:pPr>
        <w:pStyle w:val="ListNumber"/>
      </w:pPr>
      <w:r>
        <w:rPr>
          <w:b/>
        </w:rPr>
        <w:t>Kosten:</w:t>
      </w:r>
      <w:r>
        <w:t xml:space="preserve"> Maraviroc (Celsentri 150 mg, 2× tägl.) kostet ca. EUR 1.800/Monat. Bei Behandlungsdauer 3–6 Monate Gesamtkosten EUR 5.400–10.800 — keine übermäßige Belastung für die GKV.</w:t>
      </w:r>
    </w:p>
    <w:p/>
    <w:p>
      <w:pPr>
        <w:pStyle w:val="Heading2"/>
      </w:pPr>
      <w:r>
        <w:rPr>
          <w:rFonts w:ascii="Times New Roman" w:hAnsi="Times New Roman"/>
        </w:rPr>
        <w:t>5. Zusammenhang mit Haftungsforderung</w:t>
      </w:r>
    </w:p>
    <w:p>
      <w:pPr>
        <w:jc w:val="left"/>
      </w:pPr>
      <w:r>
        <w:t>Die Long Covid-Erkrankung der Mutter steht nicht unmittelbar im Kausalzusammenhang mit dem Geburtsschaden Helenes. Frau Meinhardt infizierte sich im März 2025 unabhängig vom Geburtsgeschehen. Der Long-Covid-Komplex ist daher kein eigenständiger Haftungsposten gegen die Geburtsklinik.</w:t>
      </w:r>
    </w:p>
    <w:p>
      <w:pPr>
        <w:jc w:val="left"/>
      </w:pPr>
      <w:r>
        <w:t>Allerdings: Die erhebliche psychische und körperliche Belastung durch die Pflegesituation Helenes kann als Mitfaktor für die schwerwiegende Verlaufsform des Post-COVID angesehen werden (chronische Erschöpfung als prädispositionierender Faktor). Das wird von Dr. Feis in einem Attest vom Mai 2025 erwähnt.</w:t>
      </w:r>
    </w:p>
    <w:p>
      <w:pPr>
        <w:jc w:val="left"/>
      </w:pPr>
      <w:r>
        <w:t>Für die Schadensaufstellung (AS 11) werden die Therapiekosten Long Covid als eigenständiger Posten außerhalb des Haftpflichtverfahrens geführt, sofern der GKV-Widerspruch keinen Erfolg hat.</w:t>
      </w:r>
    </w:p>
    <w:p/>
    <w:p>
      <w:pPr>
        <w:pStyle w:val="Heading2"/>
      </w:pPr>
      <w:r>
        <w:rPr>
          <w:rFonts w:ascii="Times New Roman" w:hAnsi="Times New Roman"/>
        </w:rPr>
        <w:t>6. Nächste Schritte</w:t>
      </w:r>
    </w:p>
    <w:p>
      <w:pPr>
        <w:pStyle w:val="ListBullet"/>
      </w:pPr>
      <w:r>
        <w:t>Widerspruchsbescheid AOK abwarten (Frist 3 Monate ab Eingang)</w:t>
      </w:r>
    </w:p>
    <w:p>
      <w:pPr>
        <w:pStyle w:val="ListBullet"/>
      </w:pPr>
      <w:r>
        <w:t>Bei Ablehnung: Klage Sozialgericht Hannover nach § 87 SGG</w:t>
      </w:r>
    </w:p>
    <w:p>
      <w:pPr>
        <w:pStyle w:val="ListBullet"/>
      </w:pPr>
      <w:r>
        <w:t>Einstweiligen Rechtsschutz nach § 86b SGG prüfen, wenn gesundheitliche Verschlechterung dokumentiert</w:t>
      </w:r>
    </w:p>
    <w:p>
      <w:pPr>
        <w:pStyle w:val="ListBullet"/>
      </w:pPr>
      <w:r>
        <w:t>MHH: Teilnahme an geplanter multizentrischer Studie (RECOVER-Long COVID EU, Start Herbst 2025) prüfen — ggf. kostenfreier Zugang zu Maraviroc im Studienrahmen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Klotzkette Rechtsanwaltsgesellschaft 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KLOTZKETTE RECHTSANWALTSGESELLSCHAFT MBH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