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Strafanzeige und staatsanwaltschaftliche Einstellung</w:t>
      </w:r>
    </w:p>
    <w:p/>
    <w:p>
      <w:pPr>
        <w:pStyle w:val="Heading2"/>
      </w:pPr>
      <w:r>
        <w:rPr>
          <w:rFonts w:ascii="Times New Roman" w:hAnsi="Times New Roman"/>
        </w:rPr>
        <w:t>1. Strafanzeige (Juli 2024)</w:t>
      </w:r>
    </w:p>
    <w:p>
      <w:pPr>
        <w:jc w:val="left"/>
      </w:pPr>
      <w:r>
        <w:t>Frau Lina Meinhardt erstattet in eigener Person, ohne anwaltliche Vertretung, am 25. Juli 2024 Strafanzeige bei der Polizeidirektion Hildesheim.</w:t>
      </w:r>
    </w:p>
    <w:p>
      <w:pPr>
        <w:jc w:val="left"/>
      </w:pPr>
      <w:r>
        <w:t>Anzeigetext (Kurzdarstellung, handschriftlich auf Vordruck):</w:t>
      </w:r>
    </w:p>
    <w:p>
      <w:pPr>
        <w:jc w:val="left"/>
      </w:pPr>
      <w:r>
        <w:t>„Meine Tochter Helene Meinhardt wurde am 18. Juli 2024 im Evangelischen Klinikum Bad Salzdetfurth per Notkaiserschnitt geboren und hat durch die Fehler der Ärzte und Hebammen schwere bleibende Hirnschäden erlitten. Ich zeige die behandelnden Personen wegen fahrlässiger Körperverletzung an."</w:t>
      </w:r>
    </w:p>
    <w:p>
      <w:pPr>
        <w:jc w:val="left"/>
      </w:pPr>
      <w:r>
        <w:t>Die Polizeidirektion leitete die Anzeige weiter an die Staatsanwaltschaft Hildesheim, Az. [intern] 640 Js 2854/24.</w:t>
      </w:r>
    </w:p>
    <w:p/>
    <w:p>
      <w:pPr>
        <w:pStyle w:val="Heading2"/>
      </w:pPr>
      <w:r>
        <w:rPr>
          <w:rFonts w:ascii="Times New Roman" w:hAnsi="Times New Roman"/>
        </w:rPr>
        <w:t>2. Ermittlungsverfahren</w:t>
      </w:r>
    </w:p>
    <w:p>
      <w:pPr>
        <w:jc w:val="left"/>
      </w:pPr>
      <w:r>
        <w:t>Die Staatsanwaltschaft Hildesheim nahm Ermittlungen auf. Maßnahmen:</w:t>
      </w:r>
    </w:p>
    <w:p>
      <w:pPr>
        <w:pStyle w:val="ListBullet"/>
      </w:pPr>
      <w:r>
        <w:t>Beigezogen: Patientenakte Geburtshilfe (von Klinik angefordert)</w:t>
      </w:r>
    </w:p>
    <w:p>
      <w:pPr>
        <w:pStyle w:val="ListBullet"/>
      </w:pPr>
      <w:r>
        <w:t>Anhörungsschreiben an: Dr. Almut Voth, Margit Sander, Anke Pfletschinger</w:t>
      </w:r>
    </w:p>
    <w:p>
      <w:pPr>
        <w:pStyle w:val="ListBullet"/>
      </w:pPr>
      <w:r>
        <w:t>Einholung einer medizinischen Stellungnahme: Sachverständige Dr. Gisela Rohdenburg-Kock, Fachärztin Gynäkologie, Hannover (beauftragt September 2024, Stellungnahme Dezember 2024)</w:t>
      </w:r>
    </w:p>
    <w:p>
      <w:pPr>
        <w:jc w:val="left"/>
      </w:pPr>
      <w:r>
        <w:t>Sachverständige Dr. Rohdenburg-Kock in ihrer Stellungnahme (Kurzdarstellung, aus Aktenauszug):</w:t>
      </w:r>
    </w:p>
    <w:p>
      <w:pPr>
        <w:jc w:val="left"/>
      </w:pPr>
      <w:r>
        <w:t>„Die CTG-Interpretation ist in Grenzfällen schwierig und unterliegt Wertungsspielräumen. Eine eindeutige Abweichung vom Standard mit dem Grad eines strafrechtlich vorwerfbaren groben Verschuldens lässt sich aus den vorliegenden Unterlagen nicht ableiten. Die fehlenden CTG-Bögen sind zwar auffällig, aber nicht hinreichend, um Manipulationsabsicht zu unterstellen."</w:t>
      </w:r>
    </w:p>
    <w:p>
      <w:pPr>
        <w:jc w:val="left"/>
      </w:pPr>
      <w:r>
        <w:t>Die Staatsanwaltschaft folgte dieser Einschätzung.</w:t>
      </w:r>
    </w:p>
    <w:p/>
    <w:p>
      <w:pPr>
        <w:pStyle w:val="Heading2"/>
      </w:pPr>
      <w:r>
        <w:rPr>
          <w:rFonts w:ascii="Times New Roman" w:hAnsi="Times New Roman"/>
        </w:rPr>
        <w:t>3. Einstellungsverfügung Staatsanwaltschaft Hildesheim</w:t>
      </w:r>
    </w:p>
    <w:p>
      <w:pPr>
        <w:jc w:val="left"/>
      </w:pPr>
      <w:r>
        <w:rPr>
          <w:b/>
        </w:rPr>
        <w:t>Datum:</w:t>
      </w:r>
      <w:r>
        <w:t xml:space="preserve"> 14. März 2025</w:t>
      </w:r>
    </w:p>
    <w:p>
      <w:pPr>
        <w:jc w:val="left"/>
      </w:pPr>
      <w:r>
        <w:rPr>
          <w:b/>
        </w:rPr>
        <w:t>Aktenzeichen:</w:t>
      </w:r>
      <w:r>
        <w:t xml:space="preserve"> 640 Js 2854/24</w:t>
      </w:r>
    </w:p>
    <w:p>
      <w:pPr>
        <w:jc w:val="left"/>
      </w:pPr>
      <w:r>
        <w:rPr>
          <w:b/>
        </w:rPr>
        <w:t>Entscheidung:</w:t>
      </w:r>
      <w:r>
        <w:t xml:space="preserve"> Einstellung nach § 170 Abs. 2 StPO (kein hinreichender Tatverdacht)</w:t>
      </w:r>
    </w:p>
    <w:p>
      <w:pPr>
        <w:jc w:val="left"/>
      </w:pPr>
      <w:r>
        <w:rPr>
          <w:b/>
        </w:rPr>
        <w:t>Begründung (Auszug):</w:t>
      </w:r>
    </w:p>
    <w:p>
      <w:pPr>
        <w:jc w:val="left"/>
      </w:pPr>
      <w:r>
        <w:t>„Nach Auswertung der Patientenakte und der Stellungnahme der medizinischen Sachverständigen Dr. Rohdenburg-Kock ist kein hinreichender Tatverdacht für eine fahrlässige Körperverletzung nach § 229 StGB gegeben. Die sachverständige Einschätzung zeigt, dass die geburtshilfliche Betreuung im fraglichen Zeitraum an der Grenze des medizinischen Ermessensspielraums lag, einen strafrechtlich vorwerfbaren Behandlungsfehler jedoch nicht mit der für eine Anklageerhebung erforderlichen Wahrscheinlichkeit begründet. Die Einstellung erfolgt ohne Präjudiz für zivilrechtliche Ansprüche."</w:t>
      </w:r>
    </w:p>
    <w:p/>
    <w:p>
      <w:pPr>
        <w:pStyle w:val="Heading2"/>
      </w:pPr>
      <w:r>
        <w:rPr>
          <w:rFonts w:ascii="Times New Roman" w:hAnsi="Times New Roman"/>
        </w:rPr>
        <w:t>4. Klageerzwingungsantrag — Erwogen und Verworfen</w:t>
      </w:r>
    </w:p>
    <w:p>
      <w:pPr>
        <w:jc w:val="left"/>
      </w:pPr>
      <w:r>
        <w:t>RAin Wachhorst hat geprüft, ob ein Klageerzwingungsantrag nach § 172 StPO beim OLG Celle sinnvoll wäre.</w:t>
      </w:r>
    </w:p>
    <w:p>
      <w:pPr>
        <w:jc w:val="left"/>
      </w:pPr>
      <w:r>
        <w:rPr>
          <w:b/>
        </w:rPr>
        <w:t>Ergebnis der Prüfung:</w:t>
      </w:r>
      <w:r>
        <w:t xml:space="preserve"> Verworfen.</w:t>
      </w:r>
    </w:p>
    <w:p>
      <w:pPr>
        <w:jc w:val="left"/>
      </w:pPr>
      <w:r>
        <w:t>Begründung:</w:t>
      </w:r>
    </w:p>
    <w:p>
      <w:pPr>
        <w:pStyle w:val="ListNumber"/>
      </w:pPr>
      <w:r>
        <w:t>Die Erfolgsaussichten eines Klageerzwingungsantrags bei Behandlungsfehlervorwürfen sind erfahrungsgemäß gering; Strafgerichte haben im Bereich fahrlässiger Körperverletzung im ärztlichen Bereich einen erheblichen Ermessensspielraum.</w:t>
      </w:r>
    </w:p>
    <w:p>
      <w:pPr>
        <w:pStyle w:val="ListNumber"/>
      </w:pPr>
      <w:r>
        <w:t>Die parallele Befassung einer Strafkammer könnte dazu führen, dass Zeugen sich auf ihr Aussageverweigerungsrecht nach § 55 StPO berufen, was im Zivilverfahren den Beweis erschwert.</w:t>
      </w:r>
    </w:p>
    <w:p>
      <w:pPr>
        <w:pStyle w:val="ListNumber"/>
      </w:pPr>
      <w:r>
        <w:t>Das Schlichtungsergebnis (Mai 2025) war zu diesem Zeitpunkt bereits eingegangen und liefert eine tragfähige Basis für das Zivilverfahren, ohne auf das Strafverfahren angewiesen zu sein.</w:t>
      </w:r>
    </w:p>
    <w:p>
      <w:pPr>
        <w:pStyle w:val="ListNumber"/>
      </w:pPr>
      <w:r>
        <w:t>Frau Meinhardt wurde über diese Einschätzung informiert und stimmte der Nichtweiterführung des Strafverfahrens zu.</w:t>
      </w:r>
    </w:p>
    <w:p/>
    <w:p>
      <w:pPr>
        <w:pStyle w:val="Heading2"/>
      </w:pPr>
      <w:r>
        <w:rPr>
          <w:rFonts w:ascii="Times New Roman" w:hAnsi="Times New Roman"/>
        </w:rPr>
        <w:t>5. Verwertung im Zivilverfahren</w:t>
      </w:r>
    </w:p>
    <w:p>
      <w:pPr>
        <w:jc w:val="left"/>
      </w:pPr>
      <w:r>
        <w:t>Die Einstellungsverfügung nach § 170 Abs. 2 StPO hat keine Bindungswirkung für den Zivilprozess. Das LG Hildesheim ist nicht an die Einschätzung der StA gebunden; ein freisprechendes Urteil eines Strafgerichts bindet zwar, eine Einstellung mangels Tatverdacht nicht (BGH 13.02.1996, VI ZR 15/95).</w:t>
      </w:r>
    </w:p>
    <w:p>
      <w:pPr>
        <w:jc w:val="left"/>
      </w:pPr>
      <w:r>
        <w:t>Die im Strafverfahren eingeholte Sachverständigenaussage von Dr. Rohdenburg-Kock ist der Kanzlei nicht vollständig bekannt (nur aus Aktenauszug); sie sollte im Zivilverfahren angefordert werden.</w:t>
      </w:r>
    </w:p>
    <w:p>
      <w:pPr>
        <w:jc w:val="left"/>
      </w:pPr>
      <w:r>
        <w:rPr>
          <w:b/>
        </w:rPr>
        <w:t>Hinweis:</w:t>
      </w:r>
      <w:r>
        <w:t xml:space="preserve"> Die abweichende Einschätzung zwischen dem Strafverfahren (Dr. Rohdenburg-Kock, kein strafrechtliches Verschulden) und dem Schlichtungsverfahren (Prof. Dr. M.-G., Behandlungsfehler überwiegend wahrscheinlich) ist erklärbar durch den unterschiedlichen Beurteilungsmaßstab: Strafrecht verlangt dolus eventualis oder grobe Fahrlässigkeit mit persönlicher Vorwerfbarkeit; das Zivilrecht genügt mit objektivem Verstoß gegen den Facharztstandard.</w:t>
      </w:r>
    </w:p>
    <w:p/>
    <w:p>
      <w:pPr>
        <w:pStyle w:val="Heading2"/>
      </w:pPr>
      <w:r>
        <w:rPr>
          <w:rFonts w:ascii="Times New Roman" w:hAnsi="Times New Roman"/>
        </w:rPr>
        <w:t>6. Strafanzeige als Aktenstück</w:t>
      </w:r>
    </w:p>
    <w:p>
      <w:pPr>
        <w:jc w:val="left"/>
      </w:pPr>
      <w:r>
        <w:t>Die Strafanzeige und die Einstellungsverfügung werden als Belege geführt. Sie zeigen den subjektiven Leidensdruck der Mandantin und dokumentieren, dass der Sachverhalt frühzeitig behördlich erfasst wurde. Im Zivilprozess können sie als indizielle Belege für die Ernsthaftigkeit und Nachprüfbarkeit des Vorwurfs angeführt werden.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Strafanzeige und staatsanwaltschaftliche Einstellung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Strafanzeige und staatsanwaltschaftliche Einstellung</w:t>
    </w:r>
  </w:p>
  <w:p>
    <w:pPr>
      <w:jc w:val="left"/>
      <w:pBdr>
        <w:bottom w:val="single" w:sz="6" w:space="2" w:color="3B3F45"/>
      </w:pBdr>
    </w:pPr>
    <w:r>
      <w:rPr>
        <w:rFonts w:ascii="Times New Roman" w:hAnsi="Times New Roman"/>
        <w:color w:val="6B6B66"/>
        <w:sz w:val="16"/>
      </w:rPr>
      <w:t>Gericht · 640 Js 2854/24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